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AA" w:rsidRPr="000E715C" w:rsidRDefault="00833A28" w:rsidP="00467E0B">
      <w:pPr>
        <w:jc w:val="center"/>
        <w:rPr>
          <w:rFonts w:asciiTheme="majorHAnsi" w:hAnsiTheme="majorHAnsi" w:cs="Times New Roman"/>
          <w:b/>
          <w:sz w:val="27"/>
          <w:szCs w:val="27"/>
        </w:rPr>
      </w:pPr>
      <w:r w:rsidRPr="000E715C">
        <w:rPr>
          <w:rFonts w:asciiTheme="majorHAnsi" w:hAnsiTheme="majorHAnsi" w:cs="Times New Roman"/>
          <w:b/>
          <w:sz w:val="27"/>
          <w:szCs w:val="27"/>
        </w:rPr>
        <w:t>NOTA TÉCNICA Nº 01/2016/ACM</w:t>
      </w:r>
    </w:p>
    <w:p w:rsidR="00833A28" w:rsidRPr="000E715C" w:rsidRDefault="00833A28" w:rsidP="00467E0B">
      <w:pPr>
        <w:jc w:val="center"/>
        <w:rPr>
          <w:rFonts w:asciiTheme="majorHAnsi" w:hAnsiTheme="majorHAnsi" w:cs="Times New Roman"/>
          <w:sz w:val="25"/>
          <w:szCs w:val="25"/>
        </w:rPr>
      </w:pPr>
      <w:r w:rsidRPr="000E715C">
        <w:rPr>
          <w:rFonts w:asciiTheme="majorHAnsi" w:hAnsiTheme="majorHAnsi" w:cs="Times New Roman"/>
          <w:sz w:val="25"/>
          <w:szCs w:val="25"/>
        </w:rPr>
        <w:t xml:space="preserve">PROPOSTA DE EMENDA </w:t>
      </w:r>
      <w:r w:rsidR="00535DCF" w:rsidRPr="000E715C">
        <w:rPr>
          <w:rFonts w:asciiTheme="majorHAnsi" w:hAnsiTheme="majorHAnsi" w:cs="Times New Roman"/>
          <w:sz w:val="25"/>
          <w:szCs w:val="25"/>
        </w:rPr>
        <w:t>À</w:t>
      </w:r>
      <w:r w:rsidRPr="000E715C">
        <w:rPr>
          <w:rFonts w:asciiTheme="majorHAnsi" w:hAnsiTheme="majorHAnsi" w:cs="Times New Roman"/>
          <w:sz w:val="25"/>
          <w:szCs w:val="25"/>
        </w:rPr>
        <w:t xml:space="preserve"> CONSTITUIÇÃO DO ESTADO DO CEARÁ</w:t>
      </w:r>
    </w:p>
    <w:p w:rsidR="000E715C" w:rsidRPr="000E715C" w:rsidRDefault="000E715C" w:rsidP="0035326C">
      <w:pPr>
        <w:ind w:firstLine="1701"/>
        <w:jc w:val="both"/>
        <w:rPr>
          <w:rFonts w:asciiTheme="majorHAnsi" w:hAnsiTheme="majorHAnsi"/>
          <w:sz w:val="25"/>
          <w:szCs w:val="25"/>
        </w:rPr>
      </w:pPr>
    </w:p>
    <w:p w:rsidR="00833A28" w:rsidRPr="000E715C" w:rsidRDefault="00833A28" w:rsidP="0035326C">
      <w:pPr>
        <w:ind w:firstLine="1701"/>
        <w:jc w:val="both"/>
        <w:rPr>
          <w:rFonts w:asciiTheme="majorHAnsi" w:hAnsiTheme="majorHAnsi" w:cs="Times New Roman"/>
          <w:sz w:val="25"/>
          <w:szCs w:val="25"/>
        </w:rPr>
      </w:pPr>
      <w:r w:rsidRPr="000E715C">
        <w:rPr>
          <w:rFonts w:asciiTheme="majorHAnsi" w:hAnsiTheme="majorHAnsi" w:cs="Times New Roman"/>
          <w:sz w:val="25"/>
          <w:szCs w:val="25"/>
        </w:rPr>
        <w:t xml:space="preserve">A Proposta de Emenda à Constituição 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- </w:t>
      </w:r>
      <w:r w:rsidRPr="000E715C">
        <w:rPr>
          <w:rFonts w:asciiTheme="majorHAnsi" w:hAnsiTheme="majorHAnsi" w:cs="Times New Roman"/>
          <w:sz w:val="25"/>
          <w:szCs w:val="25"/>
        </w:rPr>
        <w:t>PEC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 nº 03/2016</w:t>
      </w:r>
      <w:r w:rsidR="00660674" w:rsidRPr="000E715C">
        <w:rPr>
          <w:rFonts w:asciiTheme="majorHAnsi" w:hAnsiTheme="majorHAnsi" w:cs="Times New Roman"/>
          <w:sz w:val="25"/>
          <w:szCs w:val="25"/>
        </w:rPr>
        <w:t>, de autoria do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 Poder Executivo do Estado do Ceará</w:t>
      </w:r>
      <w:r w:rsidRPr="000E715C">
        <w:rPr>
          <w:rFonts w:asciiTheme="majorHAnsi" w:hAnsiTheme="majorHAnsi" w:cs="Times New Roman"/>
          <w:sz w:val="25"/>
          <w:szCs w:val="25"/>
        </w:rPr>
        <w:t xml:space="preserve">, </w:t>
      </w:r>
      <w:r w:rsidR="00DE4EC3" w:rsidRPr="000E715C">
        <w:rPr>
          <w:rFonts w:asciiTheme="majorHAnsi" w:hAnsiTheme="majorHAnsi" w:cs="Times New Roman"/>
          <w:sz w:val="25"/>
          <w:szCs w:val="25"/>
        </w:rPr>
        <w:t>foi encaminhad</w:t>
      </w:r>
      <w:r w:rsidR="000E715C" w:rsidRPr="000E715C">
        <w:rPr>
          <w:rFonts w:asciiTheme="majorHAnsi" w:hAnsiTheme="majorHAnsi" w:cs="Times New Roman"/>
          <w:sz w:val="25"/>
          <w:szCs w:val="25"/>
        </w:rPr>
        <w:t>a</w:t>
      </w:r>
      <w:r w:rsidR="00DE4EC3" w:rsidRPr="000E715C">
        <w:rPr>
          <w:rFonts w:asciiTheme="majorHAnsi" w:hAnsiTheme="majorHAnsi" w:cs="Times New Roman"/>
          <w:sz w:val="25"/>
          <w:szCs w:val="25"/>
        </w:rPr>
        <w:t xml:space="preserve"> à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 </w:t>
      </w:r>
      <w:r w:rsidR="009F1D96" w:rsidRPr="000E715C">
        <w:rPr>
          <w:rFonts w:asciiTheme="majorHAnsi" w:hAnsiTheme="majorHAnsi" w:cs="Times New Roman"/>
          <w:sz w:val="25"/>
          <w:szCs w:val="25"/>
        </w:rPr>
        <w:t>Assembléia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 Legislativa estadual</w:t>
      </w:r>
      <w:r w:rsidRPr="000E715C">
        <w:rPr>
          <w:rFonts w:asciiTheme="majorHAnsi" w:hAnsiTheme="majorHAnsi" w:cs="Times New Roman"/>
          <w:sz w:val="25"/>
          <w:szCs w:val="25"/>
        </w:rPr>
        <w:t>, visa</w:t>
      </w:r>
      <w:r w:rsidR="004B2B45">
        <w:rPr>
          <w:rFonts w:asciiTheme="majorHAnsi" w:hAnsiTheme="majorHAnsi" w:cs="Times New Roman"/>
          <w:sz w:val="25"/>
          <w:szCs w:val="25"/>
        </w:rPr>
        <w:t>ndo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 instituir “Novo Regime Fiscal no âmbito dos orçamentos Fiscal e da Seguridade Social do Estado, que vigorará por dez exercícios financeiros”, bem como acrescer o §7º ao artigo 205 da Constituição do Estado, atribuindo nova disciplina ao repasse do duod</w:t>
      </w:r>
      <w:r w:rsidR="00E71F6C" w:rsidRPr="000E715C">
        <w:rPr>
          <w:rFonts w:asciiTheme="majorHAnsi" w:hAnsiTheme="majorHAnsi" w:cs="Times New Roman"/>
          <w:sz w:val="25"/>
          <w:szCs w:val="25"/>
        </w:rPr>
        <w:t>écimo aos P</w:t>
      </w:r>
      <w:r w:rsidR="00535DCF" w:rsidRPr="000E715C">
        <w:rPr>
          <w:rFonts w:asciiTheme="majorHAnsi" w:hAnsiTheme="majorHAnsi" w:cs="Times New Roman"/>
          <w:sz w:val="25"/>
          <w:szCs w:val="25"/>
        </w:rPr>
        <w:t xml:space="preserve">oderes </w:t>
      </w:r>
      <w:r w:rsidR="000E715C" w:rsidRPr="000E715C">
        <w:rPr>
          <w:rFonts w:asciiTheme="majorHAnsi" w:hAnsiTheme="majorHAnsi" w:cs="Times New Roman"/>
          <w:sz w:val="25"/>
          <w:szCs w:val="25"/>
        </w:rPr>
        <w:t>estatais</w:t>
      </w:r>
      <w:r w:rsidR="00AA2529" w:rsidRPr="000E715C">
        <w:rPr>
          <w:rFonts w:asciiTheme="majorHAnsi" w:hAnsiTheme="majorHAnsi" w:cs="Times New Roman"/>
          <w:sz w:val="25"/>
          <w:szCs w:val="25"/>
        </w:rPr>
        <w:t>.</w:t>
      </w:r>
    </w:p>
    <w:p w:rsidR="00AA2529" w:rsidRPr="000E715C" w:rsidRDefault="00833A28" w:rsidP="0035326C">
      <w:pPr>
        <w:ind w:firstLine="1701"/>
        <w:jc w:val="both"/>
        <w:rPr>
          <w:rFonts w:asciiTheme="majorHAnsi" w:hAnsiTheme="majorHAnsi" w:cs="Times New Roman"/>
          <w:sz w:val="25"/>
          <w:szCs w:val="25"/>
        </w:rPr>
      </w:pPr>
      <w:r w:rsidRPr="000E715C">
        <w:rPr>
          <w:rFonts w:asciiTheme="majorHAnsi" w:hAnsiTheme="majorHAnsi" w:cs="Times New Roman"/>
          <w:sz w:val="25"/>
          <w:szCs w:val="25"/>
        </w:rPr>
        <w:t xml:space="preserve">A pretensão </w:t>
      </w:r>
      <w:r w:rsidR="002403B0" w:rsidRPr="000E715C">
        <w:rPr>
          <w:rFonts w:asciiTheme="majorHAnsi" w:hAnsiTheme="majorHAnsi" w:cs="Times New Roman"/>
          <w:sz w:val="25"/>
          <w:szCs w:val="25"/>
        </w:rPr>
        <w:t>legislativa</w:t>
      </w:r>
      <w:r w:rsidR="009A4744" w:rsidRPr="000E715C">
        <w:rPr>
          <w:rFonts w:asciiTheme="majorHAnsi" w:hAnsiTheme="majorHAnsi" w:cs="Times New Roman"/>
          <w:sz w:val="25"/>
          <w:szCs w:val="25"/>
        </w:rPr>
        <w:t xml:space="preserve"> contida na mensagem nº 8070/2016</w:t>
      </w:r>
      <w:r w:rsidR="000E715C" w:rsidRPr="000E715C">
        <w:rPr>
          <w:rFonts w:asciiTheme="majorHAnsi" w:hAnsiTheme="majorHAnsi" w:cs="Times New Roman"/>
          <w:sz w:val="25"/>
          <w:szCs w:val="25"/>
        </w:rPr>
        <w:t>, que encaminha a referida PEC</w:t>
      </w:r>
      <w:r w:rsidR="009A4744" w:rsidRPr="000E715C">
        <w:rPr>
          <w:rFonts w:asciiTheme="majorHAnsi" w:hAnsiTheme="majorHAnsi" w:cs="Times New Roman"/>
          <w:sz w:val="25"/>
          <w:szCs w:val="25"/>
        </w:rPr>
        <w:t xml:space="preserve"> não pode ser aprovada, </w:t>
      </w:r>
      <w:r w:rsidR="003B58E9">
        <w:rPr>
          <w:rFonts w:asciiTheme="majorHAnsi" w:hAnsiTheme="majorHAnsi" w:cs="Times New Roman"/>
          <w:sz w:val="25"/>
          <w:szCs w:val="25"/>
        </w:rPr>
        <w:t xml:space="preserve">mormente no que se refere ao artigo 2º, </w:t>
      </w:r>
      <w:r w:rsidR="009A4744" w:rsidRPr="000E715C">
        <w:rPr>
          <w:rFonts w:asciiTheme="majorHAnsi" w:hAnsiTheme="majorHAnsi" w:cs="Times New Roman"/>
          <w:sz w:val="25"/>
          <w:szCs w:val="25"/>
        </w:rPr>
        <w:t xml:space="preserve">haja vista </w:t>
      </w:r>
      <w:r w:rsidR="000E715C" w:rsidRPr="000E715C">
        <w:rPr>
          <w:rFonts w:asciiTheme="majorHAnsi" w:hAnsiTheme="majorHAnsi" w:cs="Times New Roman"/>
          <w:sz w:val="25"/>
          <w:szCs w:val="25"/>
        </w:rPr>
        <w:t xml:space="preserve">a </w:t>
      </w:r>
      <w:r w:rsidR="009A4744" w:rsidRPr="000E715C">
        <w:rPr>
          <w:rFonts w:asciiTheme="majorHAnsi" w:hAnsiTheme="majorHAnsi" w:cs="Times New Roman"/>
          <w:sz w:val="25"/>
          <w:szCs w:val="25"/>
        </w:rPr>
        <w:t>latente violação formal e material à Constituição Federal, conforme será cabalmente demonstrado nas razões de direito a seguir delineadas.</w:t>
      </w:r>
    </w:p>
    <w:p w:rsidR="004B6244" w:rsidRPr="000E715C" w:rsidRDefault="00AA2529" w:rsidP="004B6244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sz w:val="25"/>
          <w:szCs w:val="25"/>
        </w:rPr>
        <w:t>Pelo que</w:t>
      </w:r>
      <w:r w:rsidR="000E715C" w:rsidRPr="000E715C">
        <w:rPr>
          <w:rFonts w:asciiTheme="majorHAnsi" w:hAnsiTheme="majorHAnsi"/>
          <w:sz w:val="25"/>
          <w:szCs w:val="25"/>
        </w:rPr>
        <w:t xml:space="preserve"> se extrai dessa</w:t>
      </w:r>
      <w:r w:rsidRPr="000E715C">
        <w:rPr>
          <w:rFonts w:asciiTheme="majorHAnsi" w:hAnsiTheme="majorHAnsi"/>
          <w:sz w:val="25"/>
          <w:szCs w:val="25"/>
        </w:rPr>
        <w:t xml:space="preserve"> proposta</w:t>
      </w:r>
      <w:r w:rsidR="000E715C" w:rsidRPr="000E715C">
        <w:rPr>
          <w:rFonts w:asciiTheme="majorHAnsi" w:hAnsiTheme="majorHAnsi"/>
          <w:sz w:val="25"/>
          <w:szCs w:val="25"/>
        </w:rPr>
        <w:t>, mais notadamente</w:t>
      </w:r>
      <w:r w:rsidR="004B6244">
        <w:rPr>
          <w:rFonts w:asciiTheme="majorHAnsi" w:hAnsiTheme="majorHAnsi"/>
          <w:sz w:val="25"/>
          <w:szCs w:val="25"/>
        </w:rPr>
        <w:t xml:space="preserve"> d</w:t>
      </w:r>
      <w:r w:rsidRPr="000E715C">
        <w:rPr>
          <w:rFonts w:asciiTheme="majorHAnsi" w:hAnsiTheme="majorHAnsi"/>
          <w:sz w:val="25"/>
          <w:szCs w:val="25"/>
        </w:rPr>
        <w:t xml:space="preserve">o artigo </w:t>
      </w:r>
      <w:r w:rsidR="004B6244">
        <w:rPr>
          <w:rFonts w:asciiTheme="majorHAnsi" w:hAnsiTheme="majorHAnsi"/>
          <w:sz w:val="25"/>
          <w:szCs w:val="25"/>
        </w:rPr>
        <w:t>2</w:t>
      </w:r>
      <w:r w:rsidRPr="000E715C">
        <w:rPr>
          <w:rFonts w:asciiTheme="majorHAnsi" w:hAnsiTheme="majorHAnsi"/>
          <w:sz w:val="25"/>
          <w:szCs w:val="25"/>
        </w:rPr>
        <w:t>º</w:t>
      </w:r>
      <w:r w:rsidR="004B6244">
        <w:rPr>
          <w:rFonts w:asciiTheme="majorHAnsi" w:hAnsiTheme="majorHAnsi"/>
          <w:color w:val="000000"/>
          <w:sz w:val="25"/>
          <w:szCs w:val="25"/>
        </w:rPr>
        <w:t xml:space="preserve">, a </w:t>
      </w:r>
      <w:r w:rsidR="004B6244" w:rsidRPr="000E715C">
        <w:rPr>
          <w:rFonts w:asciiTheme="majorHAnsi" w:hAnsiTheme="majorHAnsi"/>
          <w:color w:val="000000"/>
          <w:sz w:val="25"/>
          <w:szCs w:val="25"/>
        </w:rPr>
        <w:t xml:space="preserve">controvérsia apresentada pela PEC tange-se ao seu caráter perene (viger por 10 exercícios financeiros), projetando ao Estado do Ceará restrições gravosas as quais não são necessárias, adequadas e </w:t>
      </w:r>
      <w:r w:rsidR="004B6244">
        <w:rPr>
          <w:rFonts w:asciiTheme="majorHAnsi" w:hAnsiTheme="majorHAnsi"/>
          <w:color w:val="000000"/>
          <w:sz w:val="25"/>
          <w:szCs w:val="25"/>
        </w:rPr>
        <w:t xml:space="preserve">tampouco </w:t>
      </w:r>
      <w:r w:rsidR="004B6244" w:rsidRPr="000E715C">
        <w:rPr>
          <w:rFonts w:asciiTheme="majorHAnsi" w:hAnsiTheme="majorHAnsi"/>
          <w:color w:val="000000"/>
          <w:sz w:val="25"/>
          <w:szCs w:val="25"/>
        </w:rPr>
        <w:t xml:space="preserve">proporcionais frente à realidade orçamentária estadual hodierna. </w:t>
      </w:r>
    </w:p>
    <w:p w:rsidR="00EC1FCE" w:rsidRPr="000E715C" w:rsidRDefault="00EC1FCE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>A despeito do e</w:t>
      </w:r>
      <w:r w:rsidR="00DE2B03">
        <w:rPr>
          <w:rFonts w:asciiTheme="majorHAnsi" w:hAnsiTheme="majorHAnsi"/>
          <w:color w:val="000000"/>
          <w:sz w:val="25"/>
          <w:szCs w:val="25"/>
        </w:rPr>
        <w:t xml:space="preserve">xarado, a reportada proposta 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assinala, artigo 2º, que </w:t>
      </w:r>
      <w:r w:rsidR="003B58E9">
        <w:rPr>
          <w:rFonts w:asciiTheme="majorHAnsi" w:hAnsiTheme="majorHAnsi"/>
          <w:color w:val="000000"/>
          <w:sz w:val="25"/>
          <w:szCs w:val="25"/>
        </w:rPr>
        <w:t>acresce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ao artigo 205 da Constituição do Estado o parágrafo </w:t>
      </w:r>
      <w:r w:rsidRPr="000E715C">
        <w:rPr>
          <w:rFonts w:asciiTheme="majorHAnsi" w:hAnsiTheme="majorHAnsi"/>
          <w:sz w:val="25"/>
          <w:szCs w:val="25"/>
        </w:rPr>
        <w:t xml:space="preserve">§7º, preconizando que “o repasse de duodécimo aos Poderes Legislativo e Judiciário, ao Ministério Público e à Defensoria Pública, realizado mensalmente, na forma do §5º, do artigo 2015, da Constituição do Estado, observará os limites percentuais previstos na lei orçamentária considerando a receita efetivamente arrecadada pelo Estado no período de referência”.  </w:t>
      </w:r>
    </w:p>
    <w:p w:rsidR="00DE2B03" w:rsidRDefault="005D1B0A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 xml:space="preserve">Esta emenda constitucional objetiva alterar o repasse do duodécimo aos Poderes do Estado, condicionando-o a receita efetivamente arrecadada pelo erário. </w:t>
      </w:r>
      <w:r w:rsidR="00DE2B03">
        <w:rPr>
          <w:rFonts w:asciiTheme="majorHAnsi" w:hAnsiTheme="majorHAnsi"/>
          <w:color w:val="000000"/>
          <w:sz w:val="25"/>
          <w:szCs w:val="25"/>
        </w:rPr>
        <w:t>Contudo,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o artigo 168 da Carta Magna define</w:t>
      </w:r>
      <w:r w:rsidR="00DE2B03">
        <w:rPr>
          <w:rFonts w:asciiTheme="majorHAnsi" w:hAnsiTheme="majorHAnsi"/>
          <w:color w:val="000000"/>
          <w:sz w:val="25"/>
          <w:szCs w:val="25"/>
        </w:rPr>
        <w:t>:</w:t>
      </w:r>
    </w:p>
    <w:p w:rsidR="00DE2B03" w:rsidRPr="00DE2B03" w:rsidRDefault="00DE2B03" w:rsidP="00DE2B03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DE2B03">
        <w:rPr>
          <w:rFonts w:asciiTheme="majorHAnsi" w:hAnsiTheme="majorHAnsi" w:cs="Times New Roman"/>
          <w:sz w:val="24"/>
          <w:szCs w:val="24"/>
        </w:rPr>
        <w:t xml:space="preserve">Art. 168. </w:t>
      </w:r>
      <w:r w:rsidRPr="004B2B45">
        <w:rPr>
          <w:rFonts w:asciiTheme="majorHAnsi" w:hAnsiTheme="majorHAnsi" w:cs="Times New Roman"/>
          <w:sz w:val="24"/>
          <w:szCs w:val="24"/>
          <w:u w:val="single"/>
        </w:rPr>
        <w:t>Os recursos correspondentes às dotações orçamentárias</w:t>
      </w:r>
      <w:r w:rsidRPr="00DE2B03">
        <w:rPr>
          <w:rFonts w:asciiTheme="majorHAnsi" w:hAnsiTheme="majorHAnsi" w:cs="Times New Roman"/>
          <w:sz w:val="24"/>
          <w:szCs w:val="24"/>
        </w:rPr>
        <w:t xml:space="preserve">, compreendidos os créditos suplementares e especiais, destinados aos órgãos dos Poderes Legislativo e Judiciário, do Ministério Público e da Defensoria Pública, </w:t>
      </w:r>
      <w:r w:rsidRPr="004B6244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ser-lhes-ão</w:t>
      </w:r>
      <w:r w:rsidRPr="004B2B45">
        <w:rPr>
          <w:rFonts w:asciiTheme="majorHAnsi" w:hAnsiTheme="majorHAnsi" w:cs="Times New Roman"/>
          <w:sz w:val="24"/>
          <w:szCs w:val="24"/>
          <w:u w:val="single"/>
        </w:rPr>
        <w:t xml:space="preserve"> entregues até o dia 20 de cada mês</w:t>
      </w:r>
      <w:r w:rsidRPr="00DE2B03">
        <w:rPr>
          <w:rFonts w:asciiTheme="majorHAnsi" w:hAnsiTheme="majorHAnsi" w:cs="Times New Roman"/>
          <w:sz w:val="24"/>
          <w:szCs w:val="24"/>
        </w:rPr>
        <w:t xml:space="preserve">, </w:t>
      </w:r>
      <w:r w:rsidRPr="00C05305">
        <w:rPr>
          <w:rFonts w:asciiTheme="majorHAnsi" w:hAnsiTheme="majorHAnsi" w:cs="Times New Roman"/>
          <w:sz w:val="24"/>
          <w:szCs w:val="24"/>
          <w:u w:val="single"/>
        </w:rPr>
        <w:t xml:space="preserve">em </w:t>
      </w:r>
      <w:r w:rsidRPr="004B2B45">
        <w:rPr>
          <w:rFonts w:asciiTheme="majorHAnsi" w:hAnsiTheme="majorHAnsi" w:cs="Times New Roman"/>
          <w:sz w:val="24"/>
          <w:szCs w:val="24"/>
          <w:u w:val="single"/>
        </w:rPr>
        <w:t>duodécimos</w:t>
      </w:r>
      <w:r w:rsidRPr="00DE2B03">
        <w:rPr>
          <w:rFonts w:asciiTheme="majorHAnsi" w:hAnsiTheme="majorHAnsi" w:cs="Times New Roman"/>
          <w:sz w:val="24"/>
          <w:szCs w:val="24"/>
        </w:rPr>
        <w:t>, na forma da lei complementar a que se refere o art. 165, § 9º.</w:t>
      </w:r>
      <w:r w:rsidR="004B6244">
        <w:rPr>
          <w:rFonts w:asciiTheme="majorHAnsi" w:hAnsiTheme="majorHAnsi" w:cs="Times New Roman"/>
          <w:sz w:val="24"/>
          <w:szCs w:val="24"/>
        </w:rPr>
        <w:t xml:space="preserve"> (grifo nosso)</w:t>
      </w:r>
    </w:p>
    <w:p w:rsidR="005D1B0A" w:rsidRPr="000E715C" w:rsidRDefault="005D1B0A" w:rsidP="00614D59">
      <w:pPr>
        <w:pStyle w:val="NormalWeb"/>
        <w:shd w:val="clear" w:color="auto" w:fill="FFFFFF"/>
        <w:spacing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>Isto é, os recursos devem ser entregues em duodécimos até o dia 20 de cada mês, independentemente da programação financeira ou fluxo de arrecadação</w:t>
      </w:r>
      <w:r w:rsidR="00202A78" w:rsidRPr="000E715C">
        <w:rPr>
          <w:rFonts w:asciiTheme="majorHAnsi" w:hAnsiTheme="majorHAnsi"/>
          <w:color w:val="000000"/>
          <w:sz w:val="25"/>
          <w:szCs w:val="25"/>
        </w:rPr>
        <w:t>, incorrendo, inclusive, em crime de responsabilidade o prefeito municipal que assim não proceder</w:t>
      </w:r>
      <w:r w:rsidR="004B2B45">
        <w:rPr>
          <w:rFonts w:asciiTheme="majorHAnsi" w:hAnsiTheme="majorHAnsi"/>
          <w:color w:val="000000"/>
          <w:sz w:val="25"/>
          <w:szCs w:val="25"/>
        </w:rPr>
        <w:t xml:space="preserve"> (artigo 29-A, </w:t>
      </w:r>
      <w:r w:rsidR="004B2B45" w:rsidRPr="000E715C">
        <w:rPr>
          <w:rFonts w:asciiTheme="majorHAnsi" w:hAnsiTheme="majorHAnsi"/>
          <w:sz w:val="25"/>
          <w:szCs w:val="25"/>
        </w:rPr>
        <w:t>§</w:t>
      </w:r>
      <w:r w:rsidR="004B2B45">
        <w:rPr>
          <w:rFonts w:asciiTheme="majorHAnsi" w:hAnsiTheme="majorHAnsi"/>
          <w:sz w:val="25"/>
          <w:szCs w:val="25"/>
        </w:rPr>
        <w:t>2º, inciso II, CF/88)</w:t>
      </w:r>
      <w:r w:rsidR="00202A78" w:rsidRPr="000E715C">
        <w:rPr>
          <w:rFonts w:asciiTheme="majorHAnsi" w:hAnsiTheme="majorHAnsi"/>
          <w:color w:val="000000"/>
          <w:sz w:val="25"/>
          <w:szCs w:val="25"/>
        </w:rPr>
        <w:t xml:space="preserve">. </w:t>
      </w:r>
    </w:p>
    <w:p w:rsidR="00D05C4C" w:rsidRDefault="00090BF8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 xml:space="preserve">Para amparar a proposta </w:t>
      </w:r>
      <w:r w:rsidR="007216DE" w:rsidRPr="000E715C">
        <w:rPr>
          <w:rFonts w:asciiTheme="majorHAnsi" w:hAnsiTheme="majorHAnsi"/>
          <w:color w:val="000000"/>
          <w:sz w:val="25"/>
          <w:szCs w:val="25"/>
        </w:rPr>
        <w:t xml:space="preserve">constitucional 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em celeuma, o Poder Executivo menciona apenas e tão somente </w:t>
      </w:r>
      <w:r w:rsidR="007216DE" w:rsidRPr="000E715C">
        <w:rPr>
          <w:rFonts w:asciiTheme="majorHAnsi" w:hAnsiTheme="majorHAnsi"/>
          <w:color w:val="000000"/>
          <w:sz w:val="25"/>
          <w:szCs w:val="25"/>
        </w:rPr>
        <w:t>a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decisão</w:t>
      </w:r>
      <w:r w:rsidR="007216DE" w:rsidRPr="000E715C">
        <w:rPr>
          <w:rFonts w:asciiTheme="majorHAnsi" w:hAnsiTheme="majorHAnsi"/>
          <w:color w:val="000000"/>
          <w:sz w:val="25"/>
          <w:szCs w:val="25"/>
        </w:rPr>
        <w:t xml:space="preserve"> proferida no âmbito do Supremo Tribunal Federa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>l</w:t>
      </w:r>
      <w:r w:rsidR="007216DE" w:rsidRPr="000E715C">
        <w:rPr>
          <w:rFonts w:asciiTheme="majorHAnsi" w:hAnsiTheme="majorHAnsi"/>
          <w:color w:val="000000"/>
          <w:sz w:val="25"/>
          <w:szCs w:val="25"/>
        </w:rPr>
        <w:t xml:space="preserve"> nos autos do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 Mandado de Segurança nº 34483, a qual permitiu o repasse à menor do duodécimo ao Poder Judiciário</w:t>
      </w:r>
      <w:r w:rsidR="004B2B45">
        <w:rPr>
          <w:rFonts w:asciiTheme="majorHAnsi" w:hAnsiTheme="majorHAnsi"/>
          <w:color w:val="000000"/>
          <w:sz w:val="25"/>
          <w:szCs w:val="25"/>
        </w:rPr>
        <w:t xml:space="preserve"> fluminense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 para condizer cm a receita corrente líquida efetivamente arrecadada </w:t>
      </w:r>
      <w:r w:rsidR="004B2B45">
        <w:rPr>
          <w:rFonts w:asciiTheme="majorHAnsi" w:hAnsiTheme="majorHAnsi"/>
          <w:color w:val="000000"/>
          <w:sz w:val="25"/>
          <w:szCs w:val="25"/>
        </w:rPr>
        <w:t xml:space="preserve">por àquele erário 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estadual. </w:t>
      </w:r>
    </w:p>
    <w:p w:rsidR="003F7765" w:rsidRPr="000E715C" w:rsidRDefault="007216DE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 xml:space="preserve">Ocorre que a problemática compreendida no julgamento desse </w:t>
      </w:r>
      <w:r w:rsidRPr="000E715C">
        <w:rPr>
          <w:rFonts w:asciiTheme="majorHAnsi" w:hAnsiTheme="majorHAnsi"/>
          <w:i/>
          <w:color w:val="000000"/>
          <w:sz w:val="25"/>
          <w:szCs w:val="25"/>
        </w:rPr>
        <w:t>writ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referiu-se a uma situação calamitosa espe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>cífi</w:t>
      </w:r>
      <w:r w:rsidRPr="000E715C">
        <w:rPr>
          <w:rFonts w:asciiTheme="majorHAnsi" w:hAnsiTheme="majorHAnsi"/>
          <w:color w:val="000000"/>
          <w:sz w:val="25"/>
          <w:szCs w:val="25"/>
        </w:rPr>
        <w:t>ca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 e excepcional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enfrentada pelo Estado do Rio de Janeiro, 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>destoante por completo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 do cenário orçamentário experimentado pelo Estado do Ceará. </w:t>
      </w:r>
    </w:p>
    <w:p w:rsidR="007216DE" w:rsidRPr="000E715C" w:rsidRDefault="006031EE" w:rsidP="00614D59">
      <w:pPr>
        <w:pStyle w:val="NormalWeb"/>
        <w:shd w:val="clear" w:color="auto" w:fill="FFFFFF"/>
        <w:spacing w:after="360" w:afterAutospacing="0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>Não obstante</w:t>
      </w:r>
      <w:r w:rsidR="007216DE" w:rsidRPr="000E715C">
        <w:rPr>
          <w:rFonts w:asciiTheme="majorHAnsi" w:hAnsiTheme="majorHAnsi"/>
          <w:color w:val="000000"/>
          <w:sz w:val="25"/>
          <w:szCs w:val="25"/>
        </w:rPr>
        <w:t xml:space="preserve">, 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a Egrégia Corte Superior assentou seu entendimento, seja pelas decisões do pleno ou </w:t>
      </w:r>
      <w:r w:rsidR="009A226E" w:rsidRPr="000E715C">
        <w:rPr>
          <w:rFonts w:asciiTheme="majorHAnsi" w:hAnsiTheme="majorHAnsi"/>
          <w:color w:val="000000"/>
          <w:sz w:val="25"/>
          <w:szCs w:val="25"/>
        </w:rPr>
        <w:t>monocráticas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, </w:t>
      </w:r>
      <w:r w:rsidR="00C05DF8">
        <w:rPr>
          <w:rFonts w:asciiTheme="majorHAnsi" w:hAnsiTheme="majorHAnsi"/>
          <w:color w:val="000000"/>
          <w:sz w:val="25"/>
          <w:szCs w:val="25"/>
        </w:rPr>
        <w:t>ratificando a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 impossibilidade de repasse não integral do duodécimo</w:t>
      </w:r>
      <w:r w:rsidR="00C05DF8">
        <w:rPr>
          <w:rFonts w:asciiTheme="majorHAnsi" w:hAnsiTheme="majorHAnsi"/>
          <w:color w:val="000000"/>
          <w:sz w:val="25"/>
          <w:szCs w:val="25"/>
        </w:rPr>
        <w:t xml:space="preserve"> aos entes autônomos, conforme s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>e extrai dos</w:t>
      </w:r>
      <w:r w:rsidR="004704CA" w:rsidRPr="000E715C">
        <w:rPr>
          <w:rFonts w:asciiTheme="majorHAnsi" w:hAnsiTheme="majorHAnsi"/>
          <w:color w:val="000000"/>
          <w:sz w:val="25"/>
          <w:szCs w:val="25"/>
        </w:rPr>
        <w:t xml:space="preserve"> recentes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 excertos jurisprudenciais abaixo colacionados, </w:t>
      </w:r>
      <w:r w:rsidR="003F7765" w:rsidRPr="000E715C">
        <w:rPr>
          <w:rFonts w:asciiTheme="majorHAnsi" w:hAnsiTheme="majorHAnsi"/>
          <w:i/>
          <w:color w:val="000000"/>
          <w:sz w:val="25"/>
          <w:szCs w:val="25"/>
        </w:rPr>
        <w:t>ipsis litteris</w:t>
      </w:r>
      <w:r w:rsidR="003F7765" w:rsidRPr="000E715C">
        <w:rPr>
          <w:rFonts w:asciiTheme="majorHAnsi" w:hAnsiTheme="majorHAnsi"/>
          <w:color w:val="000000"/>
          <w:sz w:val="25"/>
          <w:szCs w:val="25"/>
        </w:rPr>
        <w:t xml:space="preserve">: </w:t>
      </w:r>
    </w:p>
    <w:p w:rsidR="004704CA" w:rsidRPr="000E715C" w:rsidRDefault="004704CA" w:rsidP="00614D59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b/>
          <w:sz w:val="24"/>
          <w:szCs w:val="24"/>
        </w:rPr>
        <w:t>EMENTA:</w:t>
      </w:r>
      <w:r w:rsidRPr="000E715C">
        <w:rPr>
          <w:rFonts w:asciiTheme="majorHAnsi" w:hAnsiTheme="majorHAnsi" w:cs="Times New Roman"/>
          <w:sz w:val="24"/>
          <w:szCs w:val="24"/>
        </w:rPr>
        <w:t xml:space="preserve"> ARGUIÇÃO POR DESCUMPRIMENTO DE PRECEITO FUNDAMENTAL. ATO DO GOVERNADOR DO ESTADO DO PIAUÍ CONSISTENTE NO NÃO REPASSE DE DUODÉCIMOS ORÇAMENTÁRIOS À DEFENSORIA PÚBLICA ESTADUAL. [...] </w:t>
      </w:r>
    </w:p>
    <w:p w:rsidR="004704CA" w:rsidRPr="000E715C" w:rsidRDefault="004704CA" w:rsidP="00614D59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 xml:space="preserve">2. O repasse dos recursos correspondentes destinados à Defensoria Pública, ao Poder Judiciário, ao Poder Legislativo e ao Ministério Público sob a forma de duodécimos até o dia 20 de cada mês (art. 168 da CRFB/88) é imposição constitucional; atuando o Executivo apenas como órgão arrecadador dos recursos orçamentários, os quais, todavia, a ele não pertencem. </w:t>
      </w:r>
    </w:p>
    <w:p w:rsidR="004704CA" w:rsidRPr="000E715C" w:rsidRDefault="004704CA" w:rsidP="00614D59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 xml:space="preserve">3. O repasse dos duodécimos das verbas orçamentárias destinadas ao Poder Legislativo, ao Poder Judiciário, ao Ministério Público e à Defensoria Pública quando retidos </w:t>
      </w:r>
      <w:r w:rsidRPr="000E715C">
        <w:rPr>
          <w:rFonts w:asciiTheme="majorHAnsi" w:hAnsiTheme="majorHAnsi" w:cs="Times New Roman"/>
          <w:sz w:val="24"/>
          <w:szCs w:val="24"/>
        </w:rPr>
        <w:lastRenderedPageBreak/>
        <w:t>pelo Governado do Estado constitui prática indevida em flagrante violação aos preceitos fundamentais esculpidos na CRFB/88. [...]</w:t>
      </w:r>
    </w:p>
    <w:p w:rsidR="004704CA" w:rsidRPr="000E715C" w:rsidRDefault="004704CA" w:rsidP="00614D59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>6. Arguição por descumprimento de preceito fundamental julgada procedente, para fixar a seguinte tese: “</w:t>
      </w:r>
      <w:r w:rsidRPr="000E715C">
        <w:rPr>
          <w:rFonts w:asciiTheme="majorHAnsi" w:hAnsiTheme="majorHAnsi" w:cs="Times New Roman"/>
          <w:b/>
          <w:sz w:val="24"/>
          <w:szCs w:val="24"/>
        </w:rPr>
        <w:t>É dever constitucional do Poder Executivo o repasse, sob a forma de duodécimos e até o dia 20 de cada mês (art. 168 da CRFB/88), da integralidade dos recursos orçamentários destinados a outros Poderes e órgãos constitucionalmente autônomos, como o Ministério Público e a Defensoria Pública, conforme previsão da respectiva Lei Orçamentária Anual</w:t>
      </w:r>
      <w:r w:rsidRPr="000E715C">
        <w:rPr>
          <w:rFonts w:asciiTheme="majorHAnsi" w:hAnsiTheme="majorHAnsi" w:cs="Times New Roman"/>
          <w:sz w:val="24"/>
          <w:szCs w:val="24"/>
        </w:rPr>
        <w:t xml:space="preserve">”. </w:t>
      </w:r>
    </w:p>
    <w:p w:rsidR="004E2B3C" w:rsidRPr="000E715C" w:rsidRDefault="004E2B3C" w:rsidP="00614D59">
      <w:pPr>
        <w:spacing w:after="36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>(</w:t>
      </w:r>
      <w:r w:rsidR="004547B1" w:rsidRPr="001211FC">
        <w:rPr>
          <w:rFonts w:asciiTheme="majorHAnsi" w:hAnsiTheme="majorHAnsi" w:cs="Times New Roman"/>
          <w:b/>
          <w:sz w:val="24"/>
          <w:szCs w:val="24"/>
        </w:rPr>
        <w:t>STF</w:t>
      </w:r>
      <w:r w:rsidR="004547B1" w:rsidRPr="000E715C">
        <w:rPr>
          <w:rFonts w:asciiTheme="majorHAnsi" w:hAnsiTheme="majorHAnsi" w:cs="Times New Roman"/>
          <w:sz w:val="24"/>
          <w:szCs w:val="24"/>
        </w:rPr>
        <w:t xml:space="preserve">, </w:t>
      </w:r>
      <w:hyperlink r:id="rId8" w:history="1">
        <w:r w:rsidRPr="000E715C">
          <w:rPr>
            <w:rFonts w:asciiTheme="majorHAnsi" w:hAnsiTheme="majorHAnsi" w:cs="Times New Roman"/>
            <w:sz w:val="24"/>
            <w:szCs w:val="24"/>
          </w:rPr>
          <w:t xml:space="preserve">ADPF </w:t>
        </w:r>
        <w:r w:rsidR="004547B1" w:rsidRPr="000E715C">
          <w:rPr>
            <w:rFonts w:asciiTheme="majorHAnsi" w:hAnsiTheme="majorHAnsi" w:cs="Times New Roman"/>
            <w:sz w:val="24"/>
            <w:szCs w:val="24"/>
          </w:rPr>
          <w:t xml:space="preserve">nº </w:t>
        </w:r>
        <w:r w:rsidRPr="000E715C">
          <w:rPr>
            <w:rFonts w:asciiTheme="majorHAnsi" w:hAnsiTheme="majorHAnsi" w:cs="Times New Roman"/>
            <w:sz w:val="24"/>
            <w:szCs w:val="24"/>
          </w:rPr>
          <w:t>339</w:t>
        </w:r>
      </w:hyperlink>
      <w:r w:rsidRPr="000E715C">
        <w:rPr>
          <w:rFonts w:asciiTheme="majorHAnsi" w:hAnsiTheme="majorHAnsi" w:cs="Times New Roman"/>
          <w:sz w:val="24"/>
          <w:szCs w:val="24"/>
        </w:rPr>
        <w:t xml:space="preserve"> / PI PIAUÍ; </w:t>
      </w:r>
      <w:r w:rsidR="003457E0" w:rsidRPr="000E715C">
        <w:rPr>
          <w:rFonts w:asciiTheme="majorHAnsi" w:hAnsiTheme="majorHAnsi" w:cs="Times New Roman"/>
          <w:sz w:val="24"/>
          <w:szCs w:val="24"/>
        </w:rPr>
        <w:t>Relator (</w:t>
      </w:r>
      <w:r w:rsidRPr="000E715C">
        <w:rPr>
          <w:rFonts w:asciiTheme="majorHAnsi" w:hAnsiTheme="majorHAnsi" w:cs="Times New Roman"/>
          <w:sz w:val="24"/>
          <w:szCs w:val="24"/>
        </w:rPr>
        <w:t>a) Min. LUIZ FUX; Julgamento: 18/05/2016; Órgão Julgador: Tribunal Pleno; Publicação; DJe-159</w:t>
      </w:r>
      <w:r w:rsidR="003457E0" w:rsidRPr="000E715C">
        <w:rPr>
          <w:rFonts w:asciiTheme="majorHAnsi" w:hAnsiTheme="majorHAnsi" w:cs="Times New Roman"/>
          <w:sz w:val="24"/>
          <w:szCs w:val="24"/>
        </w:rPr>
        <w:t xml:space="preserve"> </w:t>
      </w:r>
      <w:r w:rsidRPr="000E715C">
        <w:rPr>
          <w:rFonts w:asciiTheme="majorHAnsi" w:hAnsiTheme="majorHAnsi" w:cs="Times New Roman"/>
          <w:sz w:val="24"/>
          <w:szCs w:val="24"/>
        </w:rPr>
        <w:t>DIVULG 29-07-2016</w:t>
      </w:r>
      <w:r w:rsidR="003457E0" w:rsidRPr="000E715C">
        <w:rPr>
          <w:rFonts w:asciiTheme="majorHAnsi" w:hAnsiTheme="majorHAnsi" w:cs="Times New Roman"/>
          <w:sz w:val="24"/>
          <w:szCs w:val="24"/>
        </w:rPr>
        <w:t xml:space="preserve"> </w:t>
      </w:r>
      <w:r w:rsidRPr="001211FC">
        <w:rPr>
          <w:rFonts w:asciiTheme="majorHAnsi" w:hAnsiTheme="majorHAnsi" w:cs="Times New Roman"/>
          <w:b/>
          <w:sz w:val="24"/>
          <w:szCs w:val="24"/>
        </w:rPr>
        <w:t>PUBLIC 01-08-2016</w:t>
      </w:r>
      <w:r w:rsidRPr="000E715C">
        <w:rPr>
          <w:rFonts w:asciiTheme="majorHAnsi" w:hAnsiTheme="majorHAnsi" w:cs="Times New Roman"/>
          <w:sz w:val="24"/>
          <w:szCs w:val="24"/>
        </w:rPr>
        <w:t>)</w:t>
      </w:r>
      <w:r w:rsidR="004704CA" w:rsidRPr="000E715C">
        <w:rPr>
          <w:rFonts w:asciiTheme="majorHAnsi" w:hAnsiTheme="majorHAnsi" w:cs="Times New Roman"/>
          <w:sz w:val="24"/>
          <w:szCs w:val="24"/>
        </w:rPr>
        <w:t xml:space="preserve"> (grifo nosso)</w:t>
      </w:r>
      <w:r w:rsidR="001211FC">
        <w:rPr>
          <w:rFonts w:asciiTheme="majorHAnsi" w:hAnsiTheme="majorHAnsi" w:cs="Times New Roman"/>
          <w:sz w:val="24"/>
          <w:szCs w:val="24"/>
        </w:rPr>
        <w:t>.</w:t>
      </w:r>
    </w:p>
    <w:p w:rsidR="001524DD" w:rsidRPr="000E715C" w:rsidRDefault="004547B1" w:rsidP="00614D59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b/>
          <w:sz w:val="24"/>
          <w:szCs w:val="24"/>
        </w:rPr>
        <w:t>EMENTA:</w:t>
      </w:r>
      <w:r w:rsidRPr="000E715C">
        <w:rPr>
          <w:rFonts w:asciiTheme="majorHAnsi" w:hAnsiTheme="majorHAnsi" w:cs="Times New Roman"/>
          <w:sz w:val="24"/>
          <w:szCs w:val="24"/>
        </w:rPr>
        <w:t xml:space="preserve"> [...] No rigor da dogmática constitucional-financeira, há, no caso concreto, um inadimplemento estatal relacionado a um dever constitucional imposto ao Executivo do Estado-membro em questão. Isso porque há patente abusividade no exercício de uma competência financeira, justamente por parte de quem detém posição de primazia no tocante à execução orçamentária, nos termos do modelo presidencialista optado pelo Povo no livre exercício de sua soberania. Em suma, conclui-se que houve clara ofensa aos preceitos fundamentais do acesso à Justiça e da assistência jurídica integral e gratuita, porquanto a retenção injusta de duodécimos referentes à dotação orçamentária do órgão no presente exercício financeiro representa, em concreto, um óbice ao pleno exercício de função essencial à Justiça. Ante o exposto, conheço da arguição de descumprimento de preceito fundamental e, configurada a plausibilidade jurídica das alegações e em virtude do perigo de lesão grave, defiro, com base no §1º do art. 5º da Lei 9.882/99, medida liminar ad referendum do Tribunal Pleno, para determinar que o Poder Executivo do Estado de Minas Gerais proceda ao repasse dos recursos correspondentes às dotações orçamentárias da Defensoria Pública estadual, compreendidos os créditos suplementares e especiais, sob a forma de duodécimos, até o dia 20 de cada mês, em conformidade com o que determina a Constituição Federal no artigo 168, inclusive quanto às eventuais parcelas já vencidas. </w:t>
      </w:r>
    </w:p>
    <w:p w:rsidR="004704CA" w:rsidRDefault="004547B1" w:rsidP="00614D59">
      <w:pPr>
        <w:spacing w:after="36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>(</w:t>
      </w:r>
      <w:r w:rsidRPr="001211FC">
        <w:rPr>
          <w:rFonts w:asciiTheme="majorHAnsi" w:hAnsiTheme="majorHAnsi" w:cs="Times New Roman"/>
          <w:b/>
          <w:sz w:val="24"/>
          <w:szCs w:val="24"/>
        </w:rPr>
        <w:t>STF</w:t>
      </w:r>
      <w:r w:rsidRPr="000E715C">
        <w:rPr>
          <w:rFonts w:asciiTheme="majorHAnsi" w:hAnsiTheme="majorHAnsi" w:cs="Times New Roman"/>
          <w:sz w:val="24"/>
          <w:szCs w:val="24"/>
        </w:rPr>
        <w:t xml:space="preserve">, ADPF nº 384 / </w:t>
      </w:r>
      <w:r w:rsidR="003457E0" w:rsidRPr="000E715C">
        <w:rPr>
          <w:rFonts w:asciiTheme="majorHAnsi" w:hAnsiTheme="majorHAnsi" w:cs="Times New Roman"/>
          <w:sz w:val="24"/>
          <w:szCs w:val="24"/>
        </w:rPr>
        <w:t>Relator (</w:t>
      </w:r>
      <w:r w:rsidRPr="000E715C">
        <w:rPr>
          <w:rFonts w:asciiTheme="majorHAnsi" w:hAnsiTheme="majorHAnsi" w:cs="Times New Roman"/>
          <w:sz w:val="24"/>
          <w:szCs w:val="24"/>
        </w:rPr>
        <w:t xml:space="preserve">a) Min. EDSON FACHIN, DJE nº 22, </w:t>
      </w:r>
      <w:r w:rsidRPr="001211FC">
        <w:rPr>
          <w:rFonts w:asciiTheme="majorHAnsi" w:hAnsiTheme="majorHAnsi" w:cs="Times New Roman"/>
          <w:b/>
          <w:sz w:val="24"/>
          <w:szCs w:val="24"/>
        </w:rPr>
        <w:t>divulgado em 04/02/2016</w:t>
      </w:r>
      <w:r w:rsidRPr="000E715C">
        <w:rPr>
          <w:rFonts w:asciiTheme="majorHAnsi" w:hAnsiTheme="majorHAnsi" w:cs="Times New Roman"/>
          <w:sz w:val="24"/>
          <w:szCs w:val="24"/>
        </w:rPr>
        <w:t xml:space="preserve">).  </w:t>
      </w:r>
    </w:p>
    <w:p w:rsidR="00C2550A" w:rsidRPr="001A4624" w:rsidRDefault="00C2550A" w:rsidP="00C2550A">
      <w:pPr>
        <w:spacing w:after="0" w:line="240" w:lineRule="auto"/>
        <w:ind w:left="22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2550A">
        <w:rPr>
          <w:rFonts w:asciiTheme="majorHAnsi" w:hAnsiTheme="majorHAnsi" w:cs="Times New Roman"/>
          <w:b/>
          <w:sz w:val="24"/>
          <w:szCs w:val="24"/>
        </w:rPr>
        <w:lastRenderedPageBreak/>
        <w:t>EMENTA:</w:t>
      </w:r>
      <w:r w:rsidRPr="00C2550A">
        <w:rPr>
          <w:rFonts w:asciiTheme="majorHAnsi" w:hAnsiTheme="majorHAnsi" w:cs="Times New Roman"/>
          <w:sz w:val="24"/>
          <w:szCs w:val="24"/>
        </w:rPr>
        <w:t xml:space="preserve"> </w:t>
      </w:r>
      <w:r w:rsidR="001211FC" w:rsidRPr="001A4624">
        <w:rPr>
          <w:rFonts w:asciiTheme="majorHAnsi" w:hAnsiTheme="majorHAnsi" w:cs="Times New Roman"/>
          <w:b/>
          <w:sz w:val="24"/>
          <w:szCs w:val="24"/>
        </w:rPr>
        <w:t>Somente lei complementar poderá definir os critérios e prazos para o repasse dos recursos a que alude o artig</w:t>
      </w:r>
      <w:r w:rsidRPr="001A4624">
        <w:rPr>
          <w:rFonts w:asciiTheme="majorHAnsi" w:hAnsiTheme="majorHAnsi" w:cs="Times New Roman"/>
          <w:b/>
          <w:sz w:val="24"/>
          <w:szCs w:val="24"/>
        </w:rPr>
        <w:t xml:space="preserve">o 168, da Constituição Federal. </w:t>
      </w:r>
    </w:p>
    <w:p w:rsidR="00C2550A" w:rsidRPr="00C2550A" w:rsidRDefault="00C2550A" w:rsidP="00C2550A">
      <w:pPr>
        <w:spacing w:after="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C2550A">
        <w:rPr>
          <w:rFonts w:asciiTheme="majorHAnsi" w:hAnsiTheme="majorHAnsi" w:cs="Times New Roman"/>
          <w:sz w:val="24"/>
          <w:szCs w:val="24"/>
        </w:rPr>
        <w:t>(</w:t>
      </w:r>
      <w:r w:rsidR="001A4624" w:rsidRPr="001A4624">
        <w:rPr>
          <w:rFonts w:asciiTheme="majorHAnsi" w:hAnsiTheme="majorHAnsi" w:cs="Times New Roman"/>
          <w:b/>
          <w:sz w:val="24"/>
          <w:szCs w:val="24"/>
        </w:rPr>
        <w:t xml:space="preserve">STF </w:t>
      </w:r>
      <w:r w:rsidR="001A4624">
        <w:rPr>
          <w:rFonts w:asciiTheme="majorHAnsi" w:hAnsiTheme="majorHAnsi" w:cs="Times New Roman"/>
          <w:sz w:val="24"/>
          <w:szCs w:val="24"/>
        </w:rPr>
        <w:t xml:space="preserve">- </w:t>
      </w:r>
      <w:r w:rsidRPr="00C2550A">
        <w:rPr>
          <w:rFonts w:asciiTheme="majorHAnsi" w:hAnsiTheme="majorHAnsi" w:cs="Times New Roman"/>
          <w:sz w:val="24"/>
          <w:szCs w:val="24"/>
        </w:rPr>
        <w:t>ADI</w:t>
      </w:r>
      <w:r w:rsidR="001A4624">
        <w:rPr>
          <w:rFonts w:asciiTheme="majorHAnsi" w:hAnsiTheme="majorHAnsi" w:cs="Times New Roman"/>
          <w:sz w:val="24"/>
          <w:szCs w:val="24"/>
        </w:rPr>
        <w:t xml:space="preserve"> 1.974-6 RO, Min. Relator Cézar Peluso) (grifo nosso).</w:t>
      </w:r>
    </w:p>
    <w:p w:rsidR="00C2550A" w:rsidRPr="00C2550A" w:rsidRDefault="00C2550A" w:rsidP="00C2550A">
      <w:pPr>
        <w:spacing w:after="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</w:p>
    <w:p w:rsidR="00C2550A" w:rsidRPr="00C2550A" w:rsidRDefault="00C2550A" w:rsidP="00F96B3C">
      <w:pPr>
        <w:spacing w:after="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C2550A">
        <w:rPr>
          <w:rFonts w:asciiTheme="majorHAnsi" w:hAnsiTheme="majorHAnsi" w:cs="Times New Roman"/>
          <w:b/>
          <w:sz w:val="24"/>
          <w:szCs w:val="24"/>
        </w:rPr>
        <w:t xml:space="preserve">EMENTA: </w:t>
      </w:r>
      <w:r w:rsidR="001211FC" w:rsidRPr="00C2550A">
        <w:rPr>
          <w:rFonts w:asciiTheme="majorHAnsi" w:hAnsiTheme="majorHAnsi" w:cs="Times New Roman"/>
          <w:sz w:val="24"/>
          <w:szCs w:val="24"/>
        </w:rPr>
        <w:t xml:space="preserve">É inegável, portanto, que o Tribunal de Justiça do Estado de Goiás possui direito líquido e certo ao repasse dos recursos correspondentes à sua dotação orçamentária até o dia 20 de cada mês, </w:t>
      </w:r>
      <w:r w:rsidR="001211FC" w:rsidRPr="00F96B3C">
        <w:rPr>
          <w:rFonts w:asciiTheme="majorHAnsi" w:hAnsiTheme="majorHAnsi" w:cs="Times New Roman"/>
          <w:b/>
          <w:sz w:val="24"/>
          <w:szCs w:val="24"/>
        </w:rPr>
        <w:t>não havendo falar, outrossim, no caso, em impossibilidade concreta de cumprir o dever constit</w:t>
      </w:r>
      <w:r w:rsidRPr="00F96B3C">
        <w:rPr>
          <w:rFonts w:asciiTheme="majorHAnsi" w:hAnsiTheme="majorHAnsi" w:cs="Times New Roman"/>
          <w:b/>
          <w:sz w:val="24"/>
          <w:szCs w:val="24"/>
        </w:rPr>
        <w:t>ucional à míngua de recursos.</w:t>
      </w:r>
      <w:r w:rsidRPr="00C2550A">
        <w:rPr>
          <w:rFonts w:asciiTheme="majorHAnsi" w:hAnsiTheme="majorHAnsi" w:cs="Times New Roman"/>
          <w:sz w:val="24"/>
          <w:szCs w:val="24"/>
        </w:rPr>
        <w:t xml:space="preserve"> </w:t>
      </w:r>
      <w:r w:rsidR="00F96B3C">
        <w:rPr>
          <w:rFonts w:asciiTheme="majorHAnsi" w:hAnsiTheme="majorHAnsi" w:cs="Times New Roman"/>
          <w:sz w:val="24"/>
          <w:szCs w:val="24"/>
        </w:rPr>
        <w:t xml:space="preserve"> [...] </w:t>
      </w:r>
      <w:r w:rsidR="001211FC" w:rsidRPr="00C2550A">
        <w:rPr>
          <w:rFonts w:asciiTheme="majorHAnsi" w:hAnsiTheme="majorHAnsi" w:cs="Times New Roman"/>
          <w:sz w:val="24"/>
          <w:szCs w:val="24"/>
        </w:rPr>
        <w:t xml:space="preserve">Repasse </w:t>
      </w:r>
      <w:r w:rsidRPr="00C2550A">
        <w:rPr>
          <w:rFonts w:asciiTheme="majorHAnsi" w:hAnsiTheme="majorHAnsi" w:cs="Times New Roman"/>
          <w:sz w:val="24"/>
          <w:szCs w:val="24"/>
        </w:rPr>
        <w:t>D</w:t>
      </w:r>
      <w:r w:rsidR="001211FC" w:rsidRPr="00C2550A">
        <w:rPr>
          <w:rFonts w:asciiTheme="majorHAnsi" w:hAnsiTheme="majorHAnsi" w:cs="Times New Roman"/>
          <w:sz w:val="24"/>
          <w:szCs w:val="24"/>
        </w:rPr>
        <w:t xml:space="preserve">uodecimal no era. 168 da Constituição. </w:t>
      </w:r>
      <w:r w:rsidR="001211FC" w:rsidRPr="001A4624">
        <w:rPr>
          <w:rFonts w:asciiTheme="majorHAnsi" w:hAnsiTheme="majorHAnsi" w:cs="Times New Roman"/>
          <w:b/>
          <w:sz w:val="24"/>
          <w:szCs w:val="24"/>
        </w:rPr>
        <w:t>Garantia de independência, que não está sujeita à programação financeira e ao fluxo da arrecadação.</w:t>
      </w:r>
      <w:r w:rsidR="001211FC" w:rsidRPr="00C2550A">
        <w:rPr>
          <w:rFonts w:asciiTheme="majorHAnsi" w:hAnsiTheme="majorHAnsi" w:cs="Times New Roman"/>
          <w:sz w:val="24"/>
          <w:szCs w:val="24"/>
        </w:rPr>
        <w:t xml:space="preserve"> Configura, ao invés, uma ordem de distribuição prioritária (não somente equitativa) de satisfação das dotações orçamentárias, co</w:t>
      </w:r>
      <w:r w:rsidRPr="00C2550A">
        <w:rPr>
          <w:rFonts w:asciiTheme="majorHAnsi" w:hAnsiTheme="majorHAnsi" w:cs="Times New Roman"/>
          <w:sz w:val="24"/>
          <w:szCs w:val="24"/>
        </w:rPr>
        <w:t>nsignadas ao Poder Judiciário.</w:t>
      </w:r>
    </w:p>
    <w:p w:rsidR="001211FC" w:rsidRPr="00194694" w:rsidRDefault="00C2550A" w:rsidP="00C2550A">
      <w:pPr>
        <w:spacing w:after="0" w:line="240" w:lineRule="auto"/>
        <w:ind w:left="226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194694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194694" w:rsidRPr="00194694">
        <w:rPr>
          <w:rFonts w:asciiTheme="majorHAnsi" w:hAnsiTheme="majorHAnsi" w:cs="Times New Roman"/>
          <w:b/>
          <w:sz w:val="24"/>
          <w:szCs w:val="24"/>
          <w:lang w:val="en-US"/>
        </w:rPr>
        <w:t>STF</w:t>
      </w:r>
      <w:r w:rsidR="00194694" w:rsidRPr="00194694">
        <w:rPr>
          <w:rFonts w:asciiTheme="majorHAnsi" w:hAnsiTheme="majorHAnsi" w:cs="Times New Roman"/>
          <w:sz w:val="24"/>
          <w:szCs w:val="24"/>
          <w:lang w:val="en-US"/>
        </w:rPr>
        <w:t xml:space="preserve"> - </w:t>
      </w:r>
      <w:r w:rsidRPr="00194694">
        <w:rPr>
          <w:rFonts w:asciiTheme="majorHAnsi" w:hAnsiTheme="majorHAnsi" w:cs="Times New Roman"/>
          <w:sz w:val="24"/>
          <w:szCs w:val="24"/>
          <w:lang w:val="en-US"/>
        </w:rPr>
        <w:t>MS 21.450/MT, Rel. Min. Octavio Gallotti)</w:t>
      </w:r>
      <w:r w:rsidR="001A4624">
        <w:rPr>
          <w:rFonts w:asciiTheme="majorHAnsi" w:hAnsiTheme="majorHAnsi" w:cs="Times New Roman"/>
          <w:sz w:val="24"/>
          <w:szCs w:val="24"/>
          <w:lang w:val="en-US"/>
        </w:rPr>
        <w:t xml:space="preserve"> (grifo nosso)</w:t>
      </w:r>
      <w:r w:rsidRPr="00194694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4E2B3C" w:rsidRDefault="009A226E" w:rsidP="00614D59">
      <w:pPr>
        <w:pStyle w:val="NormalWeb"/>
        <w:shd w:val="clear" w:color="auto" w:fill="FFFFFF"/>
        <w:spacing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 xml:space="preserve">Em consonância com as razões anteriormente expostas, os ministros relatores </w:t>
      </w:r>
      <w:r w:rsidRPr="006031EE">
        <w:rPr>
          <w:rFonts w:asciiTheme="majorHAnsi" w:hAnsiTheme="majorHAnsi"/>
          <w:color w:val="000000"/>
          <w:sz w:val="25"/>
          <w:szCs w:val="25"/>
        </w:rPr>
        <w:t>determinaram</w:t>
      </w:r>
      <w:r w:rsidR="004E2B3C" w:rsidRPr="006031EE">
        <w:rPr>
          <w:rFonts w:asciiTheme="majorHAnsi" w:hAnsiTheme="majorHAnsi"/>
          <w:color w:val="000000"/>
          <w:sz w:val="25"/>
          <w:szCs w:val="25"/>
        </w:rPr>
        <w:t xml:space="preserve"> o repasse do duodécimo na conformidade </w:t>
      </w:r>
      <w:r w:rsidR="006031EE" w:rsidRPr="006031EE">
        <w:rPr>
          <w:rFonts w:asciiTheme="majorHAnsi" w:hAnsiTheme="majorHAnsi"/>
          <w:color w:val="000000"/>
          <w:sz w:val="25"/>
          <w:szCs w:val="25"/>
        </w:rPr>
        <w:t xml:space="preserve">da </w:t>
      </w:r>
      <w:r w:rsidR="006031EE" w:rsidRPr="006031EE">
        <w:rPr>
          <w:rFonts w:asciiTheme="majorHAnsi" w:hAnsiTheme="majorHAnsi"/>
          <w:bCs/>
          <w:color w:val="000000"/>
          <w:sz w:val="25"/>
          <w:szCs w:val="25"/>
        </w:rPr>
        <w:t>imposição constitucional, salientando que o</w:t>
      </w:r>
      <w:r w:rsidR="006031EE" w:rsidRPr="006031EE">
        <w:rPr>
          <w:rFonts w:ascii="Cambria" w:hAnsi="Cambria"/>
          <w:bCs/>
          <w:color w:val="000000"/>
          <w:sz w:val="25"/>
          <w:szCs w:val="25"/>
        </w:rPr>
        <w:t xml:space="preserve"> Executivo </w:t>
      </w:r>
      <w:r w:rsidR="006031EE" w:rsidRPr="006031EE">
        <w:rPr>
          <w:rFonts w:asciiTheme="majorHAnsi" w:hAnsiTheme="majorHAnsi"/>
          <w:bCs/>
          <w:color w:val="000000"/>
          <w:sz w:val="25"/>
          <w:szCs w:val="25"/>
        </w:rPr>
        <w:t xml:space="preserve">deve atuar </w:t>
      </w:r>
      <w:r w:rsidR="006031EE" w:rsidRPr="006031EE">
        <w:rPr>
          <w:rFonts w:ascii="Cambria" w:hAnsi="Cambria"/>
          <w:bCs/>
          <w:color w:val="000000"/>
          <w:sz w:val="25"/>
          <w:szCs w:val="25"/>
        </w:rPr>
        <w:t>apenas como órgão arrecadador dos recursos orçamentários, os quais, todavia, a ele não pertencem</w:t>
      </w:r>
      <w:r w:rsidR="004E2B3C" w:rsidRPr="006031EE">
        <w:rPr>
          <w:rFonts w:asciiTheme="majorHAnsi" w:hAnsiTheme="majorHAnsi"/>
          <w:color w:val="000000"/>
          <w:sz w:val="25"/>
          <w:szCs w:val="25"/>
        </w:rPr>
        <w:t xml:space="preserve">.  </w:t>
      </w:r>
    </w:p>
    <w:p w:rsidR="004B6244" w:rsidRPr="000E715C" w:rsidRDefault="004B6244" w:rsidP="004B6244">
      <w:pPr>
        <w:pStyle w:val="NormalWeb"/>
        <w:shd w:val="clear" w:color="auto" w:fill="FFFFFF"/>
        <w:spacing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>Ademais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, os limites para despesa </w:t>
      </w:r>
      <w:r w:rsidRPr="000E715C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com pessoal ativo e inativo dos Estados </w:t>
      </w:r>
      <w:r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devem ser estabelecidos </w:t>
      </w:r>
      <w:r w:rsidRPr="000E715C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por </w:t>
      </w:r>
      <w:r w:rsidRPr="00DE2B03">
        <w:rPr>
          <w:rFonts w:asciiTheme="majorHAnsi" w:hAnsiTheme="majorHAnsi"/>
          <w:b/>
          <w:color w:val="000000"/>
          <w:sz w:val="25"/>
          <w:szCs w:val="25"/>
          <w:shd w:val="clear" w:color="auto" w:fill="FFFFFF"/>
        </w:rPr>
        <w:t>lei complementar</w:t>
      </w:r>
      <w:r w:rsidRPr="000E715C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, sendo vedada a disposição sobre </w:t>
      </w:r>
      <w:r w:rsidRPr="000E715C">
        <w:rPr>
          <w:rFonts w:asciiTheme="majorHAnsi" w:hAnsiTheme="majorHAnsi"/>
          <w:color w:val="000000"/>
          <w:sz w:val="25"/>
          <w:szCs w:val="25"/>
        </w:rPr>
        <w:t>o exercício financeiro, a vigência, os prazos, a elaboração e a organização do plano plurianual, da lei de diretrizes orçamentárias e da lei orçamentária anual através de emenda constitucional, como tenciona o Governo Estadual</w:t>
      </w:r>
      <w:r>
        <w:rPr>
          <w:rFonts w:asciiTheme="majorHAnsi" w:hAnsiTheme="majorHAnsi"/>
          <w:color w:val="000000"/>
          <w:sz w:val="25"/>
          <w:szCs w:val="25"/>
        </w:rPr>
        <w:t xml:space="preserve"> do Ceará</w:t>
      </w:r>
      <w:r w:rsidRPr="000E715C">
        <w:rPr>
          <w:rFonts w:asciiTheme="majorHAnsi" w:hAnsiTheme="majorHAnsi"/>
          <w:color w:val="000000"/>
          <w:sz w:val="25"/>
          <w:szCs w:val="25"/>
        </w:rPr>
        <w:t>,</w:t>
      </w:r>
      <w:r>
        <w:rPr>
          <w:rFonts w:asciiTheme="majorHAnsi" w:hAnsiTheme="majorHAnsi"/>
          <w:color w:val="000000"/>
          <w:sz w:val="25"/>
          <w:szCs w:val="25"/>
        </w:rPr>
        <w:t xml:space="preserve"> com arrimo n</w:t>
      </w:r>
      <w:r w:rsidRPr="000E715C">
        <w:rPr>
          <w:rFonts w:asciiTheme="majorHAnsi" w:hAnsiTheme="majorHAnsi"/>
          <w:color w:val="000000"/>
          <w:sz w:val="25"/>
          <w:szCs w:val="25"/>
        </w:rPr>
        <w:t xml:space="preserve">o artigo 165, §9º e 169 da Constituição Federal. Senão, vejamos: </w:t>
      </w:r>
    </w:p>
    <w:p w:rsidR="004B6244" w:rsidRPr="000E715C" w:rsidRDefault="004B6244" w:rsidP="004B6244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>Art. 165. Leis de iniciativa do Poder Executivo estabelecerão:</w:t>
      </w:r>
    </w:p>
    <w:p w:rsidR="004B6244" w:rsidRPr="000E715C" w:rsidRDefault="004B6244" w:rsidP="004B6244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 xml:space="preserve">§ 9º </w:t>
      </w:r>
      <w:r w:rsidRPr="000E715C">
        <w:rPr>
          <w:rFonts w:asciiTheme="majorHAnsi" w:hAnsiTheme="majorHAnsi" w:cs="Times New Roman"/>
          <w:sz w:val="24"/>
          <w:szCs w:val="24"/>
          <w:u w:val="single"/>
        </w:rPr>
        <w:t>Cabe à lei complementar</w:t>
      </w:r>
      <w:r w:rsidRPr="000E715C">
        <w:rPr>
          <w:rFonts w:asciiTheme="majorHAnsi" w:hAnsiTheme="majorHAnsi" w:cs="Times New Roman"/>
          <w:sz w:val="24"/>
          <w:szCs w:val="24"/>
        </w:rPr>
        <w:t>:</w:t>
      </w:r>
    </w:p>
    <w:p w:rsidR="004B6244" w:rsidRPr="000E715C" w:rsidRDefault="004B6244" w:rsidP="004B6244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t>I - dispor sobre o exercício financeiro, a vigência, os prazos, a elaboração e a organização do plano plurianual, da lei de diretrizes orçamentárias e da lei orçamentária anual;</w:t>
      </w:r>
    </w:p>
    <w:p w:rsidR="004B6244" w:rsidRPr="000E715C" w:rsidRDefault="004B6244" w:rsidP="004B6244">
      <w:pPr>
        <w:spacing w:after="4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bookmarkStart w:id="0" w:name="165§9II"/>
      <w:bookmarkEnd w:id="0"/>
      <w:r w:rsidRPr="000E715C">
        <w:rPr>
          <w:rFonts w:asciiTheme="majorHAnsi" w:hAnsiTheme="majorHAnsi" w:cs="Times New Roman"/>
          <w:sz w:val="24"/>
          <w:szCs w:val="24"/>
        </w:rPr>
        <w:t>II - estabelecer normas de gestão financeira e patrimonial da administração direta e indireta bem como condições para a instituição e funcionamento de fundos.</w:t>
      </w:r>
    </w:p>
    <w:p w:rsidR="004B6244" w:rsidRPr="000E715C" w:rsidRDefault="004B6244" w:rsidP="004B6244">
      <w:pPr>
        <w:spacing w:after="360" w:line="240" w:lineRule="auto"/>
        <w:ind w:left="2268"/>
        <w:jc w:val="both"/>
        <w:rPr>
          <w:rFonts w:asciiTheme="majorHAnsi" w:hAnsiTheme="majorHAnsi" w:cs="Times New Roman"/>
          <w:sz w:val="24"/>
          <w:szCs w:val="24"/>
        </w:rPr>
      </w:pPr>
      <w:r w:rsidRPr="000E715C">
        <w:rPr>
          <w:rFonts w:asciiTheme="majorHAnsi" w:hAnsiTheme="majorHAnsi" w:cs="Times New Roman"/>
          <w:sz w:val="24"/>
          <w:szCs w:val="24"/>
        </w:rPr>
        <w:lastRenderedPageBreak/>
        <w:t>Art. 169. A despesa com pessoal ativo e inativo da União, dos Estados, do Distrito Federal e dos Municípios</w:t>
      </w:r>
      <w:r w:rsidRPr="000E715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não poderá exceder os limites estabelecidos em </w:t>
      </w:r>
      <w:r w:rsidRPr="000E715C">
        <w:rPr>
          <w:rFonts w:asciiTheme="majorHAnsi" w:hAnsiTheme="majorHAnsi" w:cs="Times New Roman"/>
          <w:color w:val="000000"/>
          <w:sz w:val="24"/>
          <w:szCs w:val="24"/>
          <w:u w:val="single"/>
          <w:shd w:val="clear" w:color="auto" w:fill="FFFFFF"/>
        </w:rPr>
        <w:t>lei complementar</w:t>
      </w:r>
      <w:r w:rsidRPr="000E715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Pr="000E715C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</w:t>
      </w:r>
    </w:p>
    <w:p w:rsidR="00D628AB" w:rsidRPr="00F51193" w:rsidRDefault="00D628AB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color w:val="000000"/>
          <w:sz w:val="25"/>
          <w:szCs w:val="25"/>
        </w:rPr>
      </w:pPr>
      <w:r>
        <w:rPr>
          <w:rFonts w:asciiTheme="majorHAnsi" w:hAnsiTheme="majorHAnsi"/>
          <w:color w:val="000000"/>
          <w:sz w:val="25"/>
          <w:szCs w:val="25"/>
        </w:rPr>
        <w:t xml:space="preserve">Por fim, oportuno trazer a baila </w:t>
      </w:r>
      <w:r w:rsidRPr="00D628AB">
        <w:rPr>
          <w:rFonts w:asciiTheme="majorHAnsi" w:hAnsiTheme="majorHAnsi"/>
          <w:color w:val="000000"/>
          <w:sz w:val="25"/>
          <w:szCs w:val="25"/>
        </w:rPr>
        <w:t>o cuidado qu</w:t>
      </w:r>
      <w:r w:rsidR="009F1D96">
        <w:rPr>
          <w:rFonts w:asciiTheme="majorHAnsi" w:hAnsiTheme="majorHAnsi"/>
          <w:color w:val="000000"/>
          <w:sz w:val="25"/>
          <w:szCs w:val="25"/>
        </w:rPr>
        <w:t>e a sociedade espera da Assemble</w:t>
      </w:r>
      <w:r w:rsidRPr="00D628AB">
        <w:rPr>
          <w:rFonts w:asciiTheme="majorHAnsi" w:hAnsiTheme="majorHAnsi"/>
          <w:color w:val="000000"/>
          <w:sz w:val="25"/>
          <w:szCs w:val="25"/>
        </w:rPr>
        <w:t xml:space="preserve">ia Legislativa </w:t>
      </w:r>
      <w:r>
        <w:rPr>
          <w:rFonts w:asciiTheme="majorHAnsi" w:hAnsiTheme="majorHAnsi"/>
          <w:color w:val="000000"/>
          <w:sz w:val="25"/>
          <w:szCs w:val="25"/>
        </w:rPr>
        <w:t xml:space="preserve">do </w:t>
      </w:r>
      <w:r w:rsidRPr="00D628AB">
        <w:rPr>
          <w:rFonts w:asciiTheme="majorHAnsi" w:hAnsiTheme="majorHAnsi"/>
          <w:color w:val="000000"/>
          <w:sz w:val="25"/>
          <w:szCs w:val="25"/>
        </w:rPr>
        <w:t>Estado do Ceará no seu exercício</w:t>
      </w:r>
      <w:r w:rsidR="00883373" w:rsidRPr="00D628AB"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D628AB">
        <w:rPr>
          <w:rFonts w:asciiTheme="majorHAnsi" w:hAnsiTheme="majorHAnsi"/>
          <w:color w:val="000000"/>
          <w:sz w:val="25"/>
          <w:szCs w:val="25"/>
        </w:rPr>
        <w:t>primordial de legislar; clamando,</w:t>
      </w:r>
      <w:r w:rsidR="00883373" w:rsidRPr="00D628AB"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D628AB">
        <w:rPr>
          <w:rFonts w:asciiTheme="majorHAnsi" w:hAnsiTheme="majorHAnsi"/>
          <w:color w:val="000000"/>
          <w:sz w:val="25"/>
          <w:szCs w:val="25"/>
        </w:rPr>
        <w:t>sempre,</w:t>
      </w:r>
      <w:r w:rsidR="00883373" w:rsidRPr="00D628AB"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D628AB">
        <w:rPr>
          <w:rFonts w:asciiTheme="majorHAnsi" w:hAnsiTheme="majorHAnsi"/>
          <w:color w:val="000000"/>
          <w:sz w:val="25"/>
          <w:szCs w:val="25"/>
        </w:rPr>
        <w:t>pelo</w:t>
      </w:r>
      <w:r>
        <w:rPr>
          <w:rFonts w:asciiTheme="majorHAnsi" w:hAnsiTheme="majorHAnsi"/>
          <w:color w:val="000000"/>
          <w:sz w:val="25"/>
          <w:szCs w:val="25"/>
        </w:rPr>
        <w:t xml:space="preserve"> </w:t>
      </w:r>
      <w:r w:rsidRPr="00D628AB">
        <w:rPr>
          <w:rFonts w:asciiTheme="majorHAnsi" w:hAnsiTheme="majorHAnsi"/>
          <w:color w:val="000000"/>
          <w:sz w:val="25"/>
          <w:szCs w:val="25"/>
        </w:rPr>
        <w:t xml:space="preserve">fortalecimento </w:t>
      </w:r>
      <w:r>
        <w:rPr>
          <w:rFonts w:asciiTheme="majorHAnsi" w:hAnsiTheme="majorHAnsi"/>
          <w:color w:val="000000"/>
          <w:sz w:val="25"/>
          <w:szCs w:val="25"/>
        </w:rPr>
        <w:t xml:space="preserve">e independência das instituições, </w:t>
      </w:r>
      <w:r w:rsidR="00F51193">
        <w:rPr>
          <w:rFonts w:asciiTheme="majorHAnsi" w:hAnsiTheme="majorHAnsi"/>
          <w:color w:val="000000"/>
          <w:sz w:val="25"/>
          <w:szCs w:val="25"/>
        </w:rPr>
        <w:t xml:space="preserve">devendo </w:t>
      </w:r>
      <w:r w:rsidR="001211FC">
        <w:rPr>
          <w:rFonts w:asciiTheme="majorHAnsi" w:hAnsiTheme="majorHAnsi"/>
          <w:color w:val="000000"/>
          <w:sz w:val="25"/>
          <w:szCs w:val="25"/>
        </w:rPr>
        <w:t>esse egrégio P</w:t>
      </w:r>
      <w:r w:rsidR="00C05DF8">
        <w:rPr>
          <w:rFonts w:asciiTheme="majorHAnsi" w:hAnsiTheme="majorHAnsi"/>
          <w:color w:val="000000"/>
          <w:sz w:val="25"/>
          <w:szCs w:val="25"/>
        </w:rPr>
        <w:t xml:space="preserve">oder </w:t>
      </w:r>
      <w:r w:rsidR="00F51193">
        <w:rPr>
          <w:rFonts w:asciiTheme="majorHAnsi" w:hAnsiTheme="majorHAnsi"/>
          <w:color w:val="000000"/>
          <w:sz w:val="25"/>
          <w:szCs w:val="25"/>
        </w:rPr>
        <w:t>rejeitar qualquer</w:t>
      </w:r>
      <w:r w:rsidRPr="00F51193">
        <w:rPr>
          <w:rFonts w:asciiTheme="majorHAnsi" w:hAnsiTheme="majorHAnsi"/>
          <w:color w:val="000000"/>
          <w:sz w:val="25"/>
          <w:szCs w:val="25"/>
        </w:rPr>
        <w:t xml:space="preserve"> imposição ilegítima, sem assento na Constituição, </w:t>
      </w:r>
      <w:r w:rsidR="00F51193">
        <w:rPr>
          <w:rFonts w:asciiTheme="majorHAnsi" w:hAnsiTheme="majorHAnsi"/>
          <w:color w:val="000000"/>
          <w:sz w:val="25"/>
          <w:szCs w:val="25"/>
        </w:rPr>
        <w:t>que importe</w:t>
      </w:r>
      <w:r w:rsidRPr="00F51193">
        <w:rPr>
          <w:rFonts w:asciiTheme="majorHAnsi" w:hAnsiTheme="majorHAnsi"/>
          <w:color w:val="000000"/>
          <w:sz w:val="25"/>
          <w:szCs w:val="25"/>
        </w:rPr>
        <w:t xml:space="preserve">, ao fim, na restrição indevida de serviços públicos essenciais ao bom funcionamento do Estado Democrático de Direito. </w:t>
      </w:r>
    </w:p>
    <w:p w:rsidR="00833A28" w:rsidRPr="000E715C" w:rsidRDefault="009A226E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sz w:val="25"/>
          <w:szCs w:val="25"/>
        </w:rPr>
      </w:pPr>
      <w:r w:rsidRPr="000E715C">
        <w:rPr>
          <w:rFonts w:asciiTheme="majorHAnsi" w:hAnsiTheme="majorHAnsi"/>
          <w:color w:val="000000"/>
          <w:sz w:val="25"/>
          <w:szCs w:val="25"/>
        </w:rPr>
        <w:t>Diante do exposto, observados os argumentos apresentados nesta nota</w:t>
      </w:r>
      <w:r w:rsidR="00F51193">
        <w:rPr>
          <w:rFonts w:asciiTheme="majorHAnsi" w:hAnsiTheme="majorHAnsi"/>
          <w:color w:val="000000"/>
          <w:sz w:val="25"/>
          <w:szCs w:val="25"/>
        </w:rPr>
        <w:t xml:space="preserve"> técnica</w:t>
      </w:r>
      <w:r w:rsidR="00833A28" w:rsidRPr="000E715C">
        <w:rPr>
          <w:rFonts w:asciiTheme="majorHAnsi" w:hAnsiTheme="majorHAnsi"/>
          <w:color w:val="000000"/>
          <w:sz w:val="25"/>
          <w:szCs w:val="25"/>
        </w:rPr>
        <w:t xml:space="preserve"> e, considerando </w:t>
      </w:r>
      <w:r w:rsidRPr="000E715C">
        <w:rPr>
          <w:rFonts w:asciiTheme="majorHAnsi" w:hAnsiTheme="majorHAnsi"/>
          <w:color w:val="000000"/>
          <w:sz w:val="25"/>
          <w:szCs w:val="25"/>
        </w:rPr>
        <w:t>as diretrizes legislativas aqui apresentadas, a Associação Cearense de Magistrados (ACM)</w:t>
      </w:r>
      <w:r w:rsidRPr="000E715C">
        <w:rPr>
          <w:rFonts w:asciiTheme="majorHAnsi" w:hAnsiTheme="majorHAnsi"/>
          <w:sz w:val="25"/>
          <w:szCs w:val="25"/>
        </w:rPr>
        <w:t xml:space="preserve"> ma</w:t>
      </w:r>
      <w:r w:rsidR="004B6244">
        <w:rPr>
          <w:rFonts w:asciiTheme="majorHAnsi" w:hAnsiTheme="majorHAnsi"/>
          <w:sz w:val="25"/>
          <w:szCs w:val="25"/>
        </w:rPr>
        <w:t>nifesta-se pela não aprovação do artigo 2º da</w:t>
      </w:r>
      <w:r w:rsidRPr="000E715C">
        <w:rPr>
          <w:rFonts w:asciiTheme="majorHAnsi" w:hAnsiTheme="majorHAnsi"/>
          <w:sz w:val="25"/>
          <w:szCs w:val="25"/>
        </w:rPr>
        <w:t xml:space="preserve"> Proposta de Emenda à Constituição </w:t>
      </w:r>
      <w:r w:rsidR="00F51193" w:rsidRPr="000E715C">
        <w:rPr>
          <w:rFonts w:asciiTheme="majorHAnsi" w:hAnsiTheme="majorHAnsi"/>
          <w:sz w:val="25"/>
          <w:szCs w:val="25"/>
        </w:rPr>
        <w:t>nº</w:t>
      </w:r>
      <w:r w:rsidR="00F51193">
        <w:rPr>
          <w:rFonts w:asciiTheme="majorHAnsi" w:hAnsiTheme="majorHAnsi"/>
          <w:sz w:val="25"/>
          <w:szCs w:val="25"/>
        </w:rPr>
        <w:t xml:space="preserve"> </w:t>
      </w:r>
      <w:r w:rsidR="00F51193" w:rsidRPr="000E715C">
        <w:rPr>
          <w:rFonts w:asciiTheme="majorHAnsi" w:hAnsiTheme="majorHAnsi"/>
          <w:sz w:val="25"/>
          <w:szCs w:val="25"/>
        </w:rPr>
        <w:t>03/2016</w:t>
      </w:r>
      <w:r w:rsidR="004B6244">
        <w:rPr>
          <w:rFonts w:asciiTheme="majorHAnsi" w:hAnsiTheme="majorHAnsi"/>
          <w:sz w:val="25"/>
          <w:szCs w:val="25"/>
        </w:rPr>
        <w:t>,</w:t>
      </w:r>
      <w:r w:rsidR="00F51193" w:rsidRPr="000E715C">
        <w:rPr>
          <w:rFonts w:asciiTheme="majorHAnsi" w:hAnsiTheme="majorHAnsi"/>
          <w:sz w:val="25"/>
          <w:szCs w:val="25"/>
        </w:rPr>
        <w:t xml:space="preserve"> </w:t>
      </w:r>
      <w:r w:rsidRPr="000E715C">
        <w:rPr>
          <w:rFonts w:asciiTheme="majorHAnsi" w:hAnsiTheme="majorHAnsi"/>
          <w:sz w:val="25"/>
          <w:szCs w:val="25"/>
        </w:rPr>
        <w:t>requesta</w:t>
      </w:r>
      <w:r w:rsidR="004B6244">
        <w:rPr>
          <w:rFonts w:asciiTheme="majorHAnsi" w:hAnsiTheme="majorHAnsi"/>
          <w:sz w:val="25"/>
          <w:szCs w:val="25"/>
        </w:rPr>
        <w:t>ndo</w:t>
      </w:r>
      <w:r w:rsidRPr="000E715C">
        <w:rPr>
          <w:rFonts w:asciiTheme="majorHAnsi" w:hAnsiTheme="majorHAnsi"/>
          <w:sz w:val="25"/>
          <w:szCs w:val="25"/>
        </w:rPr>
        <w:t xml:space="preserve"> a essa Augusta Casa que</w:t>
      </w:r>
      <w:r w:rsidR="004B6244">
        <w:rPr>
          <w:rFonts w:asciiTheme="majorHAnsi" w:hAnsiTheme="majorHAnsi"/>
          <w:sz w:val="25"/>
          <w:szCs w:val="25"/>
        </w:rPr>
        <w:t xml:space="preserve"> </w:t>
      </w:r>
      <w:r w:rsidR="00F51193">
        <w:rPr>
          <w:rFonts w:asciiTheme="majorHAnsi" w:hAnsiTheme="majorHAnsi"/>
          <w:sz w:val="25"/>
          <w:szCs w:val="25"/>
        </w:rPr>
        <w:t xml:space="preserve">vote pela supressão </w:t>
      </w:r>
      <w:r w:rsidR="004B6244">
        <w:rPr>
          <w:rFonts w:asciiTheme="majorHAnsi" w:hAnsiTheme="majorHAnsi"/>
          <w:sz w:val="25"/>
          <w:szCs w:val="25"/>
        </w:rPr>
        <w:t xml:space="preserve">desse </w:t>
      </w:r>
      <w:r w:rsidR="00A3745D">
        <w:rPr>
          <w:rFonts w:asciiTheme="majorHAnsi" w:hAnsiTheme="majorHAnsi"/>
          <w:sz w:val="25"/>
          <w:szCs w:val="25"/>
        </w:rPr>
        <w:t>normativo</w:t>
      </w:r>
      <w:r w:rsidR="00DE3C03">
        <w:rPr>
          <w:rFonts w:asciiTheme="majorHAnsi" w:hAnsiTheme="majorHAnsi"/>
          <w:sz w:val="25"/>
          <w:szCs w:val="25"/>
        </w:rPr>
        <w:t xml:space="preserve">, </w:t>
      </w:r>
      <w:r w:rsidR="00883373">
        <w:rPr>
          <w:rFonts w:asciiTheme="majorHAnsi" w:hAnsiTheme="majorHAnsi"/>
          <w:sz w:val="25"/>
          <w:szCs w:val="25"/>
        </w:rPr>
        <w:t>em razão da patente afronta d</w:t>
      </w:r>
      <w:r w:rsidR="00DE3C03">
        <w:rPr>
          <w:rFonts w:asciiTheme="majorHAnsi" w:hAnsiTheme="majorHAnsi"/>
          <w:sz w:val="25"/>
          <w:szCs w:val="25"/>
        </w:rPr>
        <w:t xml:space="preserve">a pretensão legislativa do Poder Executivo do Ceará </w:t>
      </w:r>
      <w:r w:rsidR="00883373">
        <w:rPr>
          <w:rFonts w:asciiTheme="majorHAnsi" w:hAnsiTheme="majorHAnsi"/>
          <w:sz w:val="25"/>
          <w:szCs w:val="25"/>
        </w:rPr>
        <w:t>frente</w:t>
      </w:r>
      <w:r w:rsidR="00DE3C03">
        <w:rPr>
          <w:rFonts w:asciiTheme="majorHAnsi" w:hAnsiTheme="majorHAnsi"/>
          <w:sz w:val="25"/>
          <w:szCs w:val="25"/>
        </w:rPr>
        <w:t xml:space="preserve"> </w:t>
      </w:r>
      <w:r w:rsidR="0060565A">
        <w:rPr>
          <w:rFonts w:asciiTheme="majorHAnsi" w:hAnsiTheme="majorHAnsi"/>
          <w:sz w:val="25"/>
          <w:szCs w:val="25"/>
        </w:rPr>
        <w:t>às</w:t>
      </w:r>
      <w:r w:rsidR="00DE3C03">
        <w:rPr>
          <w:rFonts w:asciiTheme="majorHAnsi" w:hAnsiTheme="majorHAnsi"/>
          <w:sz w:val="25"/>
          <w:szCs w:val="25"/>
        </w:rPr>
        <w:t xml:space="preserve"> diretrizes </w:t>
      </w:r>
      <w:r w:rsidR="0060565A">
        <w:rPr>
          <w:rFonts w:asciiTheme="majorHAnsi" w:hAnsiTheme="majorHAnsi"/>
          <w:sz w:val="25"/>
          <w:szCs w:val="25"/>
        </w:rPr>
        <w:t xml:space="preserve">orçamentárias </w:t>
      </w:r>
      <w:r w:rsidR="00DE3C03">
        <w:rPr>
          <w:rFonts w:asciiTheme="majorHAnsi" w:hAnsiTheme="majorHAnsi"/>
          <w:sz w:val="25"/>
          <w:szCs w:val="25"/>
        </w:rPr>
        <w:t xml:space="preserve">estabelecidas </w:t>
      </w:r>
      <w:r w:rsidR="0078170C">
        <w:rPr>
          <w:rFonts w:asciiTheme="majorHAnsi" w:hAnsiTheme="majorHAnsi"/>
          <w:sz w:val="25"/>
          <w:szCs w:val="25"/>
        </w:rPr>
        <w:t>n</w:t>
      </w:r>
      <w:r w:rsidR="00DE3C03">
        <w:rPr>
          <w:rFonts w:asciiTheme="majorHAnsi" w:hAnsiTheme="majorHAnsi"/>
          <w:sz w:val="25"/>
          <w:szCs w:val="25"/>
        </w:rPr>
        <w:t>a Constituição Federal</w:t>
      </w:r>
      <w:r w:rsidRPr="000E715C">
        <w:rPr>
          <w:rFonts w:asciiTheme="majorHAnsi" w:hAnsiTheme="majorHAnsi"/>
          <w:sz w:val="25"/>
          <w:szCs w:val="25"/>
        </w:rPr>
        <w:t xml:space="preserve">. </w:t>
      </w:r>
    </w:p>
    <w:p w:rsidR="001D1661" w:rsidRPr="000E715C" w:rsidRDefault="001D1661" w:rsidP="00883373">
      <w:pPr>
        <w:pStyle w:val="NormalWeb"/>
        <w:shd w:val="clear" w:color="auto" w:fill="FFFFFF"/>
        <w:spacing w:before="28" w:after="28" w:line="276" w:lineRule="auto"/>
        <w:ind w:firstLine="1701"/>
        <w:jc w:val="both"/>
        <w:rPr>
          <w:rFonts w:asciiTheme="majorHAnsi" w:hAnsiTheme="majorHAnsi"/>
          <w:sz w:val="25"/>
          <w:szCs w:val="25"/>
        </w:rPr>
      </w:pPr>
      <w:r w:rsidRPr="000E715C">
        <w:rPr>
          <w:rFonts w:asciiTheme="majorHAnsi" w:hAnsiTheme="majorHAnsi"/>
          <w:sz w:val="25"/>
          <w:szCs w:val="25"/>
        </w:rPr>
        <w:t>Fortaleza, 19 de dezembro de 2016.</w:t>
      </w:r>
    </w:p>
    <w:p w:rsidR="00833A28" w:rsidRDefault="00833A28" w:rsidP="00467E0B">
      <w:pPr>
        <w:ind w:firstLine="1701"/>
        <w:jc w:val="both"/>
        <w:rPr>
          <w:rFonts w:asciiTheme="majorHAnsi" w:hAnsiTheme="majorHAnsi" w:cs="Times New Roman"/>
          <w:sz w:val="25"/>
          <w:szCs w:val="25"/>
        </w:rPr>
      </w:pPr>
      <w:r w:rsidRPr="000E715C">
        <w:rPr>
          <w:rFonts w:asciiTheme="majorHAnsi" w:hAnsiTheme="majorHAnsi" w:cs="Times New Roman"/>
          <w:sz w:val="25"/>
          <w:szCs w:val="25"/>
        </w:rPr>
        <w:t>Cordialmente,</w:t>
      </w:r>
    </w:p>
    <w:p w:rsidR="003705D8" w:rsidRDefault="003705D8" w:rsidP="00467E0B">
      <w:pPr>
        <w:ind w:firstLine="1701"/>
        <w:jc w:val="both"/>
        <w:rPr>
          <w:rFonts w:asciiTheme="majorHAnsi" w:hAnsiTheme="majorHAnsi" w:cs="Times New Roman"/>
          <w:sz w:val="25"/>
          <w:szCs w:val="25"/>
        </w:rPr>
      </w:pPr>
    </w:p>
    <w:p w:rsidR="003705D8" w:rsidRDefault="003705D8" w:rsidP="00467E0B">
      <w:pPr>
        <w:ind w:firstLine="1701"/>
        <w:jc w:val="both"/>
        <w:rPr>
          <w:rFonts w:asciiTheme="majorHAnsi" w:hAnsiTheme="majorHAnsi" w:cs="Times New Roman"/>
          <w:sz w:val="25"/>
          <w:szCs w:val="25"/>
        </w:rPr>
      </w:pPr>
    </w:p>
    <w:p w:rsidR="003705D8" w:rsidRPr="000E715C" w:rsidRDefault="003705D8" w:rsidP="003705D8">
      <w:pPr>
        <w:spacing w:after="0"/>
        <w:ind w:firstLine="1701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>Antônio Alves de Araújo</w:t>
      </w:r>
    </w:p>
    <w:p w:rsidR="001D1661" w:rsidRPr="000E715C" w:rsidRDefault="003705D8" w:rsidP="003705D8">
      <w:pPr>
        <w:spacing w:after="0"/>
        <w:ind w:firstLine="1701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      </w:t>
      </w:r>
      <w:r w:rsidR="00833A28" w:rsidRPr="000E715C">
        <w:rPr>
          <w:rFonts w:asciiTheme="majorHAnsi" w:hAnsiTheme="majorHAnsi" w:cs="Times New Roman"/>
          <w:sz w:val="25"/>
          <w:szCs w:val="25"/>
        </w:rPr>
        <w:t>Presidente da ACM</w:t>
      </w:r>
    </w:p>
    <w:sectPr w:rsidR="001D1661" w:rsidRPr="000E715C" w:rsidSect="00E74F0F">
      <w:pgSz w:w="11906" w:h="16838"/>
      <w:pgMar w:top="2552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0F" w:rsidRDefault="00E74F0F" w:rsidP="00EF3F4D">
      <w:pPr>
        <w:spacing w:after="0" w:line="240" w:lineRule="auto"/>
      </w:pPr>
      <w:r>
        <w:separator/>
      </w:r>
    </w:p>
  </w:endnote>
  <w:endnote w:type="continuationSeparator" w:id="1">
    <w:p w:rsidR="00E74F0F" w:rsidRDefault="00E74F0F" w:rsidP="00E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0F" w:rsidRDefault="00E74F0F" w:rsidP="00EF3F4D">
      <w:pPr>
        <w:spacing w:after="0" w:line="240" w:lineRule="auto"/>
      </w:pPr>
      <w:r>
        <w:separator/>
      </w:r>
    </w:p>
  </w:footnote>
  <w:footnote w:type="continuationSeparator" w:id="1">
    <w:p w:rsidR="00E74F0F" w:rsidRDefault="00E74F0F" w:rsidP="00EF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0622"/>
    <w:multiLevelType w:val="hybridMultilevel"/>
    <w:tmpl w:val="4F1A2FB0"/>
    <w:lvl w:ilvl="0" w:tplc="4C7A5F8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28"/>
    <w:rsid w:val="000233D7"/>
    <w:rsid w:val="00090BF8"/>
    <w:rsid w:val="000D1BEA"/>
    <w:rsid w:val="000E715C"/>
    <w:rsid w:val="001211FC"/>
    <w:rsid w:val="00143591"/>
    <w:rsid w:val="001524DD"/>
    <w:rsid w:val="00194694"/>
    <w:rsid w:val="001A4624"/>
    <w:rsid w:val="001D1661"/>
    <w:rsid w:val="00202A78"/>
    <w:rsid w:val="002403B0"/>
    <w:rsid w:val="0027194C"/>
    <w:rsid w:val="002E72E3"/>
    <w:rsid w:val="003457E0"/>
    <w:rsid w:val="0035326C"/>
    <w:rsid w:val="00367F7D"/>
    <w:rsid w:val="003705D8"/>
    <w:rsid w:val="003B58E9"/>
    <w:rsid w:val="003F7765"/>
    <w:rsid w:val="00430421"/>
    <w:rsid w:val="004547B1"/>
    <w:rsid w:val="00467E0B"/>
    <w:rsid w:val="004704CA"/>
    <w:rsid w:val="0047191F"/>
    <w:rsid w:val="004B2B45"/>
    <w:rsid w:val="004B6244"/>
    <w:rsid w:val="004D3A0F"/>
    <w:rsid w:val="004E2B3C"/>
    <w:rsid w:val="00535DCF"/>
    <w:rsid w:val="005D1B0A"/>
    <w:rsid w:val="005F22C0"/>
    <w:rsid w:val="005F3AAA"/>
    <w:rsid w:val="006031EE"/>
    <w:rsid w:val="0060565A"/>
    <w:rsid w:val="00614D59"/>
    <w:rsid w:val="006279AA"/>
    <w:rsid w:val="006601FE"/>
    <w:rsid w:val="00660674"/>
    <w:rsid w:val="00707059"/>
    <w:rsid w:val="007216DE"/>
    <w:rsid w:val="00745347"/>
    <w:rsid w:val="0078170C"/>
    <w:rsid w:val="007E204C"/>
    <w:rsid w:val="00833A28"/>
    <w:rsid w:val="00883373"/>
    <w:rsid w:val="008C326C"/>
    <w:rsid w:val="008E25FD"/>
    <w:rsid w:val="00943757"/>
    <w:rsid w:val="00951664"/>
    <w:rsid w:val="009A226E"/>
    <w:rsid w:val="009A4744"/>
    <w:rsid w:val="009F0DE2"/>
    <w:rsid w:val="009F1D96"/>
    <w:rsid w:val="009F5677"/>
    <w:rsid w:val="00A3745D"/>
    <w:rsid w:val="00A464D6"/>
    <w:rsid w:val="00A724BD"/>
    <w:rsid w:val="00AA2529"/>
    <w:rsid w:val="00BE1267"/>
    <w:rsid w:val="00C05305"/>
    <w:rsid w:val="00C05DF8"/>
    <w:rsid w:val="00C2550A"/>
    <w:rsid w:val="00C56F2B"/>
    <w:rsid w:val="00C96ACE"/>
    <w:rsid w:val="00D05C4C"/>
    <w:rsid w:val="00D61928"/>
    <w:rsid w:val="00D628AB"/>
    <w:rsid w:val="00D91744"/>
    <w:rsid w:val="00DA2E6E"/>
    <w:rsid w:val="00DE2B03"/>
    <w:rsid w:val="00DE3C03"/>
    <w:rsid w:val="00DE4EC3"/>
    <w:rsid w:val="00E71F6C"/>
    <w:rsid w:val="00E74F0F"/>
    <w:rsid w:val="00EC1FCE"/>
    <w:rsid w:val="00EF3F4D"/>
    <w:rsid w:val="00F51193"/>
    <w:rsid w:val="00F60A67"/>
    <w:rsid w:val="00F96B3C"/>
    <w:rsid w:val="00FE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A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03B0"/>
    <w:pPr>
      <w:ind w:left="720"/>
      <w:contextualSpacing/>
    </w:pPr>
  </w:style>
  <w:style w:type="paragraph" w:styleId="NormalWeb">
    <w:name w:val="Normal (Web)"/>
    <w:basedOn w:val="Normal"/>
    <w:unhideWhenUsed/>
    <w:rsid w:val="0024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4744"/>
  </w:style>
  <w:style w:type="paragraph" w:styleId="Cabealho">
    <w:name w:val="header"/>
    <w:basedOn w:val="Normal"/>
    <w:link w:val="CabealhoChar"/>
    <w:uiPriority w:val="99"/>
    <w:semiHidden/>
    <w:unhideWhenUsed/>
    <w:rsid w:val="00EF3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F4D"/>
  </w:style>
  <w:style w:type="paragraph" w:styleId="Rodap">
    <w:name w:val="footer"/>
    <w:basedOn w:val="Normal"/>
    <w:link w:val="RodapChar"/>
    <w:uiPriority w:val="99"/>
    <w:semiHidden/>
    <w:unhideWhenUsed/>
    <w:rsid w:val="00EF3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F4D"/>
  </w:style>
  <w:style w:type="character" w:styleId="Forte">
    <w:name w:val="Strong"/>
    <w:qFormat/>
    <w:rsid w:val="004E2B3C"/>
    <w:rPr>
      <w:b/>
      <w:bCs/>
    </w:rPr>
  </w:style>
  <w:style w:type="paragraph" w:styleId="Corpodetexto">
    <w:name w:val="Body Text"/>
    <w:basedOn w:val="Normal"/>
    <w:link w:val="CorpodetextoChar"/>
    <w:rsid w:val="004E2B3C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E2B3C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5D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jus.br/portal/processo/verProcessoAndamento.asp?numero=339&amp;classe=ADPF&amp;codigoClasse=0&amp;origem=JUR&amp;recurso=0&amp;tipoJulgamento=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E525-31E9-426E-8F34-B5BAD03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1557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EXECUTIVA</dc:creator>
  <cp:lastModifiedBy>SECRETÁRIA EXECUTIVA</cp:lastModifiedBy>
  <cp:revision>11</cp:revision>
  <cp:lastPrinted>2016-12-19T13:51:00Z</cp:lastPrinted>
  <dcterms:created xsi:type="dcterms:W3CDTF">2016-12-19T12:53:00Z</dcterms:created>
  <dcterms:modified xsi:type="dcterms:W3CDTF">2016-12-19T14:07:00Z</dcterms:modified>
</cp:coreProperties>
</file>